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Borders>
          <w:bottom w:val="single" w:sz="4" w:space="0" w:color="auto"/>
        </w:tblBorders>
        <w:tblLook w:val="01E0" w:firstRow="1" w:lastRow="1" w:firstColumn="1" w:lastColumn="1" w:noHBand="0" w:noVBand="0"/>
      </w:tblPr>
      <w:tblGrid>
        <w:gridCol w:w="6946"/>
        <w:gridCol w:w="1843"/>
      </w:tblGrid>
      <w:tr w:rsidR="000A03B2" w:rsidRPr="00B57B36" w:rsidTr="00DE264A">
        <w:trPr>
          <w:trHeight w:val="852"/>
          <w:jc w:val="center"/>
        </w:trPr>
        <w:tc>
          <w:tcPr>
            <w:tcW w:w="6946" w:type="dxa"/>
            <w:vMerge w:val="restart"/>
            <w:tcBorders>
              <w:right w:val="single" w:sz="4" w:space="0" w:color="auto"/>
            </w:tcBorders>
          </w:tcPr>
          <w:p w:rsidR="000A03B2" w:rsidRPr="00B57B36" w:rsidRDefault="000A03B2" w:rsidP="00477072">
            <w:pPr>
              <w:tabs>
                <w:tab w:val="left" w:pos="-108"/>
              </w:tabs>
              <w:ind w:left="-108"/>
              <w:jc w:val="left"/>
              <w:rPr>
                <w:rFonts w:cs="Arial"/>
                <w:b/>
                <w:bCs/>
                <w:i/>
                <w:iCs/>
                <w:color w:val="000066"/>
                <w:sz w:val="12"/>
                <w:szCs w:val="12"/>
                <w:lang w:eastAsia="it-IT"/>
              </w:rPr>
            </w:pPr>
            <w:bookmarkStart w:id="0" w:name="_Hlk145068772"/>
            <w:r>
              <w:rPr>
                <w:rFonts w:ascii="AdvP6960" w:hAnsi="AdvP6960" w:cs="AdvP6960"/>
                <w:noProof/>
                <w:color w:val="241F20"/>
                <w:szCs w:val="18"/>
                <w:lang w:val="ru-RU" w:eastAsia="ru-RU"/>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Pr>
                <w:rFonts w:ascii="AdvP6960" w:hAnsi="AdvP6960" w:cs="AdvP6960"/>
                <w:color w:val="241F20"/>
                <w:szCs w:val="18"/>
                <w:lang w:eastAsia="it-IT"/>
              </w:rPr>
              <w:t xml:space="preserve"> </w:t>
            </w:r>
            <w:r>
              <w:rPr>
                <w:rFonts w:cs="Arial"/>
                <w:b/>
                <w:bCs/>
                <w:i/>
                <w:iCs/>
                <w:color w:val="000066"/>
                <w:sz w:val="24"/>
                <w:szCs w:val="24"/>
                <w:lang w:eastAsia="it-IT"/>
              </w:rPr>
              <w:t>CHEMICAL ENGINEERING</w:t>
            </w:r>
            <w:r>
              <w:rPr>
                <w:rFonts w:cs="Arial"/>
                <w:b/>
                <w:bCs/>
                <w:i/>
                <w:iCs/>
                <w:color w:val="0033FF"/>
                <w:sz w:val="24"/>
                <w:szCs w:val="24"/>
                <w:lang w:eastAsia="it-IT"/>
              </w:rPr>
              <w:t xml:space="preserve"> </w:t>
            </w:r>
            <w:r>
              <w:rPr>
                <w:rFonts w:cs="Arial"/>
                <w:b/>
                <w:bCs/>
                <w:i/>
                <w:iCs/>
                <w:color w:val="666666"/>
                <w:sz w:val="24"/>
                <w:szCs w:val="24"/>
                <w:lang w:eastAsia="it-IT"/>
              </w:rPr>
              <w:t>TRANSACTIONS</w:t>
            </w:r>
            <w:r>
              <w:rPr>
                <w:color w:val="333333"/>
                <w:sz w:val="24"/>
                <w:szCs w:val="24"/>
                <w:lang w:eastAsia="it-IT"/>
              </w:rPr>
              <w:t xml:space="preserve"> </w:t>
            </w:r>
            <w:r>
              <w:rPr>
                <w:rFonts w:cs="Arial"/>
                <w:b/>
                <w:bCs/>
                <w:i/>
                <w:iCs/>
                <w:color w:val="000066"/>
                <w:sz w:val="27"/>
                <w:szCs w:val="27"/>
                <w:lang w:eastAsia="it-IT"/>
              </w:rPr>
              <w:br/>
            </w:r>
          </w:p>
          <w:p w:rsidR="000A03B2" w:rsidRPr="00B57B36" w:rsidRDefault="00A76EFC" w:rsidP="001D21AF">
            <w:pPr>
              <w:tabs>
                <w:tab w:val="left" w:pos="-108"/>
              </w:tabs>
              <w:ind w:left="-108"/>
              <w:rPr>
                <w:rFonts w:cs="Arial"/>
                <w:b/>
                <w:bCs/>
                <w:i/>
                <w:iCs/>
                <w:color w:val="000066"/>
                <w:sz w:val="22"/>
                <w:szCs w:val="22"/>
                <w:lang w:eastAsia="it-IT"/>
              </w:rPr>
            </w:pPr>
            <w:r>
              <w:rPr>
                <w:rFonts w:cs="Arial"/>
                <w:b/>
                <w:bCs/>
                <w:i/>
                <w:iCs/>
                <w:color w:val="000066"/>
                <w:sz w:val="22"/>
                <w:szCs w:val="22"/>
                <w:lang w:eastAsia="it-IT"/>
              </w:rPr>
              <w:t>VOL. xxx, 2026</w:t>
            </w:r>
          </w:p>
        </w:tc>
        <w:tc>
          <w:tcPr>
            <w:tcW w:w="1843"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Pr>
                <w:rFonts w:cs="Arial"/>
                <w:sz w:val="14"/>
                <w:szCs w:val="14"/>
              </w:rPr>
              <w:t>A publication of</w:t>
            </w:r>
          </w:p>
          <w:p w:rsidR="000A03B2" w:rsidRPr="00B57B36" w:rsidRDefault="000A03B2" w:rsidP="00CD5FE2">
            <w:pPr>
              <w:jc w:val="right"/>
            </w:pPr>
            <w:r>
              <w:rPr>
                <w:noProof/>
                <w:lang w:val="ru-RU" w:eastAsia="ru-RU"/>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rsidTr="00DE264A">
        <w:trPr>
          <w:trHeight w:val="567"/>
          <w:jc w:val="center"/>
        </w:trPr>
        <w:tc>
          <w:tcPr>
            <w:tcW w:w="6946" w:type="dxa"/>
            <w:vMerge/>
            <w:tcBorders>
              <w:right w:val="single" w:sz="4" w:space="0" w:color="auto"/>
            </w:tcBorders>
          </w:tcPr>
          <w:p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rsidR="000A03B2" w:rsidRPr="00B57B36" w:rsidRDefault="000A03B2" w:rsidP="00CD5FE2">
            <w:pPr>
              <w:spacing w:line="140" w:lineRule="atLeast"/>
              <w:jc w:val="right"/>
              <w:rPr>
                <w:rFonts w:cs="Arial"/>
                <w:sz w:val="14"/>
                <w:szCs w:val="14"/>
              </w:rPr>
            </w:pPr>
            <w:r>
              <w:rPr>
                <w:rFonts w:cs="Arial"/>
                <w:sz w:val="14"/>
                <w:szCs w:val="14"/>
              </w:rPr>
              <w:t>The Italian Association</w:t>
            </w:r>
          </w:p>
          <w:p w:rsidR="000A03B2" w:rsidRPr="00B57B36" w:rsidRDefault="000A03B2" w:rsidP="00CD5FE2">
            <w:pPr>
              <w:spacing w:line="140" w:lineRule="atLeast"/>
              <w:jc w:val="right"/>
              <w:rPr>
                <w:rFonts w:cs="Arial"/>
                <w:sz w:val="14"/>
                <w:szCs w:val="14"/>
              </w:rPr>
            </w:pPr>
            <w:r>
              <w:rPr>
                <w:rFonts w:cs="Arial"/>
                <w:sz w:val="14"/>
                <w:szCs w:val="14"/>
              </w:rPr>
              <w:t>of Chemical Engineering</w:t>
            </w:r>
          </w:p>
          <w:p w:rsidR="000A03B2" w:rsidRPr="000D0268" w:rsidRDefault="000D0268" w:rsidP="00CD5FE2">
            <w:pPr>
              <w:spacing w:line="140" w:lineRule="atLeast"/>
              <w:jc w:val="right"/>
              <w:rPr>
                <w:rFonts w:cs="Arial"/>
                <w:sz w:val="13"/>
                <w:szCs w:val="13"/>
              </w:rPr>
            </w:pPr>
            <w:r>
              <w:rPr>
                <w:rFonts w:cs="Arial"/>
                <w:sz w:val="13"/>
                <w:szCs w:val="13"/>
              </w:rPr>
              <w:t>Online at www.cetjournal.it</w:t>
            </w:r>
          </w:p>
        </w:tc>
      </w:tr>
      <w:tr w:rsidR="000A03B2" w:rsidRPr="00B57B36" w:rsidTr="00DE264A">
        <w:trPr>
          <w:trHeight w:val="68"/>
          <w:jc w:val="center"/>
        </w:trPr>
        <w:tc>
          <w:tcPr>
            <w:tcW w:w="8789" w:type="dxa"/>
            <w:gridSpan w:val="2"/>
          </w:tcPr>
          <w:p w:rsidR="00AA7D26" w:rsidRPr="00CB2614" w:rsidRDefault="004A5E57" w:rsidP="00CB2614">
            <w:pPr>
              <w:ind w:left="-107"/>
              <w:outlineLvl w:val="2"/>
              <w:rPr>
                <w:rFonts w:ascii="Tahoma" w:hAnsi="Tahoma" w:cs="Tahoma"/>
                <w:color w:val="000000"/>
                <w:sz w:val="14"/>
                <w:szCs w:val="14"/>
                <w:shd w:val="clear" w:color="auto" w:fill="FFFFFF"/>
                <w:lang w:val="it-IT"/>
              </w:rPr>
            </w:pPr>
            <w:r>
              <w:rPr>
                <w:rFonts w:ascii="Tahoma" w:hAnsi="Tahoma" w:cs="Tahoma"/>
                <w:iCs/>
                <w:color w:val="333333"/>
                <w:sz w:val="14"/>
                <w:szCs w:val="14"/>
                <w:lang w:val="it-IT" w:eastAsia="it-IT"/>
              </w:rPr>
              <w:t>Guest Editors:</w:t>
            </w:r>
            <w:r>
              <w:rPr>
                <w:rFonts w:ascii="Tahoma" w:hAnsi="Tahoma" w:cs="Tahoma"/>
                <w:color w:val="000000"/>
                <w:sz w:val="14"/>
                <w:szCs w:val="14"/>
                <w:shd w:val="clear" w:color="auto" w:fill="FFFFFF"/>
                <w:lang w:val="it-IT"/>
              </w:rPr>
              <w:t xml:space="preserve"> Flavio Manenti, Botir Usmonov, Alessandro Di Pretoro</w:t>
            </w:r>
          </w:p>
          <w:p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2026, AIDIC Servizi S.r.l.</w:t>
            </w:r>
            <w:r>
              <w:rPr>
                <w:rFonts w:ascii="Tahoma" w:hAnsi="Tahoma" w:cs="Tahoma"/>
                <w:iCs/>
                <w:color w:val="333333"/>
                <w:sz w:val="14"/>
                <w:szCs w:val="14"/>
                <w:lang w:eastAsia="it-IT"/>
              </w:rPr>
              <w:br/>
            </w:r>
            <w:r>
              <w:rPr>
                <w:rFonts w:ascii="Tahoma" w:hAnsi="Tahoma" w:cs="Tahoma"/>
                <w:b/>
                <w:iCs/>
                <w:color w:val="000000"/>
                <w:sz w:val="14"/>
                <w:szCs w:val="14"/>
                <w:lang w:eastAsia="it-IT"/>
              </w:rPr>
              <w:t>ISBN</w:t>
            </w:r>
            <w:r>
              <w:rPr>
                <w:rFonts w:ascii="Tahoma" w:hAnsi="Tahoma" w:cs="Tahoma"/>
                <w:iCs/>
                <w:color w:val="000000"/>
                <w:sz w:val="14"/>
                <w:szCs w:val="14"/>
                <w:lang w:eastAsia="it-IT"/>
              </w:rPr>
              <w:t xml:space="preserve"> </w:t>
            </w:r>
            <w:r>
              <w:rPr>
                <w:rFonts w:ascii="Tahoma" w:hAnsi="Tahoma" w:cs="Tahoma"/>
                <w:sz w:val="14"/>
                <w:szCs w:val="14"/>
              </w:rPr>
              <w:t>979-12-81206-xx-x</w:t>
            </w:r>
            <w:r>
              <w:rPr>
                <w:rFonts w:ascii="Tahoma" w:hAnsi="Tahoma" w:cs="Tahoma"/>
                <w:iCs/>
                <w:color w:val="333333"/>
                <w:sz w:val="14"/>
                <w:szCs w:val="14"/>
                <w:lang w:eastAsia="it-IT"/>
              </w:rPr>
              <w:t xml:space="preserve">; </w:t>
            </w:r>
            <w:r>
              <w:rPr>
                <w:rFonts w:ascii="Tahoma" w:hAnsi="Tahoma" w:cs="Tahoma"/>
                <w:b/>
                <w:iCs/>
                <w:color w:val="333333"/>
                <w:sz w:val="14"/>
                <w:szCs w:val="14"/>
                <w:lang w:eastAsia="it-IT"/>
              </w:rPr>
              <w:t>ISSN</w:t>
            </w:r>
            <w:r>
              <w:rPr>
                <w:rFonts w:ascii="Tahoma" w:hAnsi="Tahoma" w:cs="Tahoma"/>
                <w:iCs/>
                <w:color w:val="333333"/>
                <w:sz w:val="14"/>
                <w:szCs w:val="14"/>
                <w:lang w:eastAsia="it-IT"/>
              </w:rPr>
              <w:t xml:space="preserve"> 2283-9216</w:t>
            </w:r>
          </w:p>
        </w:tc>
      </w:tr>
      <w:bookmarkEnd w:id="0"/>
    </w:tbl>
    <w:p w:rsidR="00921A62" w:rsidRDefault="00921A62" w:rsidP="00921A62">
      <w:pPr>
        <w:jc w:val="center"/>
      </w:pPr>
    </w:p>
    <w:p w:rsidR="00921A62" w:rsidRDefault="00921A62" w:rsidP="00921A62">
      <w:pPr>
        <w:jc w:val="center"/>
      </w:pPr>
    </w:p>
    <w:p w:rsidR="00E978D0" w:rsidRDefault="00921A62" w:rsidP="00921A62">
      <w:pPr>
        <w:pStyle w:val="CETTitle"/>
        <w:rPr>
          <w:rFonts w:cs="Arial"/>
          <w:b/>
          <w:szCs w:val="32"/>
          <w:lang w:val="en-US"/>
        </w:rPr>
      </w:pPr>
      <w:r>
        <w:rPr>
          <w:lang w:val="en-US"/>
        </w:rPr>
        <w:t xml:space="preserve"> Quality and Functional Properties of Sponge-Fermented Rye–Wheat Bread Enriched with Jerusalem Artichoke Powder at Different Substitution Levels</w:t>
      </w:r>
    </w:p>
    <w:p w:rsidR="00921A62" w:rsidRPr="00921A62" w:rsidRDefault="00921A62" w:rsidP="00921A62">
      <w:pPr>
        <w:jc w:val="center"/>
        <w:rPr>
          <w:rFonts w:cs="Arial"/>
          <w:b/>
          <w:szCs w:val="18"/>
          <w:lang w:val="en-US"/>
        </w:rPr>
      </w:pPr>
    </w:p>
    <w:p w:rsidR="00B57E6F" w:rsidRPr="00B57B36" w:rsidRDefault="002F61FA" w:rsidP="00B57E6F">
      <w:pPr>
        <w:pStyle w:val="CETAuthors"/>
      </w:pPr>
      <w:r>
        <w:rPr>
          <w:lang w:val="en-US"/>
        </w:rPr>
        <w:t xml:space="preserve">Zilola Kh. </w:t>
      </w:r>
      <w:r w:rsidR="00DF5ECB">
        <w:rPr>
          <w:lang w:val="en-US"/>
        </w:rPr>
        <w:t>Sultonboeva</w:t>
      </w:r>
      <w:r w:rsidR="00DF5ECB">
        <w:rPr>
          <w:vertAlign w:val="superscript"/>
        </w:rPr>
        <w:t>a</w:t>
      </w:r>
      <w:r>
        <w:t>*,Sanobar S.</w:t>
      </w:r>
      <w:r w:rsidR="00DF5ECB">
        <w:t xml:space="preserve"> Achilova</w:t>
      </w:r>
      <w:r w:rsidR="00DF5ECB">
        <w:rPr>
          <w:vertAlign w:val="superscript"/>
        </w:rPr>
        <w:t>b,</w:t>
      </w:r>
      <w:r>
        <w:t>, Jahongir G.</w:t>
      </w:r>
      <w:r w:rsidR="00DF5ECB">
        <w:t xml:space="preserve"> Rakhimov</w:t>
      </w:r>
      <w:r w:rsidR="00DF5ECB">
        <w:rPr>
          <w:vertAlign w:val="superscript"/>
        </w:rPr>
        <w:t>a</w:t>
      </w:r>
      <w:r w:rsidR="00DF5ECB">
        <w:t xml:space="preserve"> </w:t>
      </w:r>
    </w:p>
    <w:p w:rsidR="00B57E6F" w:rsidRPr="00B57B36" w:rsidRDefault="00B57E6F" w:rsidP="00B57E6F">
      <w:pPr>
        <w:pStyle w:val="CETAddress"/>
      </w:pPr>
      <w:r>
        <w:rPr>
          <w:vertAlign w:val="superscript"/>
        </w:rPr>
        <w:t>a</w:t>
      </w:r>
      <w:r>
        <w:t xml:space="preserve">Faculty of Food and Wine Technologies, Department of Technology of Food and Perfyumery-cosmetic Products. Tashkent, Uzbekistan  </w:t>
      </w:r>
    </w:p>
    <w:p w:rsidR="00B57E6F" w:rsidRPr="00B57B36" w:rsidRDefault="00B57E6F" w:rsidP="00B57E6F">
      <w:pPr>
        <w:pStyle w:val="CETAddress"/>
      </w:pPr>
      <w:r>
        <w:rPr>
          <w:vertAlign w:val="superscript"/>
        </w:rPr>
        <w:t xml:space="preserve">b </w:t>
      </w:r>
      <w:r>
        <w:t>Faculty of Chemical Technology , Department of Food Technology,  Urgench States University. Khorezm, Uzbekistan</w:t>
      </w:r>
    </w:p>
    <w:p w:rsidR="00B57E6F" w:rsidRPr="00B57B36" w:rsidRDefault="00B57E6F" w:rsidP="00B57E6F">
      <w:pPr>
        <w:pStyle w:val="CETemail"/>
      </w:pPr>
      <w:r>
        <w:t xml:space="preserve"> zilolasultonboeva@gmail.com</w:t>
      </w:r>
    </w:p>
    <w:p w:rsidR="00600535" w:rsidRPr="00921A62" w:rsidRDefault="00921A62" w:rsidP="00921A62">
      <w:pPr>
        <w:spacing w:line="276" w:lineRule="auto"/>
        <w:rPr>
          <w:rFonts w:cs="Arial"/>
          <w:szCs w:val="18"/>
          <w:lang w:val="en-US"/>
        </w:rPr>
      </w:pPr>
      <w:bookmarkStart w:id="1" w:name="_Hlk495475023"/>
      <w:r>
        <w:rPr>
          <w:rFonts w:cs="Arial"/>
          <w:szCs w:val="18"/>
          <w:lang w:val="en-US"/>
        </w:rPr>
        <w:t>This study evaluates the technological and quality effects of sponge fermentation on rye–wheat bread enriched with Jerusalem artichoke powder (JAP), a natural source of inulin. Different substitution levels of JAP (0–10%) were incorporated into the flour formulation to determine their influence on dough properties and final product quality. The results demonstrated that increasing JAP content affected gluten network formation; however, the application of sponge fermentation appeared to support dough development and was associated with improved loaf structure. Observed trends indicated that a 7% substitution level of JAP provided the most favorable balance between nutritional enrichment and technological quality parameters. At this level, the negative effects of dietary fiber on bread volume were partially reduced.</w:t>
      </w:r>
    </w:p>
    <w:bookmarkEnd w:id="1"/>
    <w:p w:rsidR="00600535" w:rsidRDefault="00600535" w:rsidP="00600535">
      <w:pPr>
        <w:pStyle w:val="CETHeading1"/>
        <w:rPr>
          <w:lang w:val="en-GB"/>
        </w:rPr>
      </w:pPr>
      <w:r>
        <w:rPr>
          <w:lang w:val="en-GB"/>
        </w:rPr>
        <w:t>Introduction</w:t>
      </w:r>
    </w:p>
    <w:p w:rsidR="00921A62" w:rsidRPr="00921A62" w:rsidRDefault="00921A62" w:rsidP="00921A62">
      <w:pPr>
        <w:spacing w:line="276" w:lineRule="auto"/>
        <w:rPr>
          <w:rFonts w:cs="Arial"/>
          <w:szCs w:val="18"/>
          <w:lang w:val="en-US"/>
        </w:rPr>
      </w:pPr>
      <w:r>
        <w:rPr>
          <w:rFonts w:cs="Arial"/>
          <w:szCs w:val="18"/>
          <w:lang w:val="en-US"/>
        </w:rPr>
        <w:t>In recent decades, the concept of functional foods has gained considerable attention due to the increasing prevalence of diet-related chronic diseases, including obesity, diabetes mellitus, and cardiovascular disorders. Consumers are progressively seeking food products that not only provide basic nutrition but also deliver additional health benefits. In this context, bakery products—particularly bread—are considered highly suitable carriers for functional ingredients due to their widespread consumption, affordability, and technological flexibility (Arendt &amp; Zannini, 2013). The incorporation of bioactive compounds into bread formulations represents a promising strategy to improve public health outcomes without requiring significant changes in dietary habits.</w:t>
      </w:r>
    </w:p>
    <w:p w:rsidR="00921A62" w:rsidRPr="00921A62" w:rsidRDefault="00921A62" w:rsidP="00921A62">
      <w:pPr>
        <w:spacing w:line="276" w:lineRule="auto"/>
        <w:rPr>
          <w:rFonts w:cs="Arial"/>
          <w:szCs w:val="18"/>
          <w:lang w:val="en-US"/>
        </w:rPr>
      </w:pPr>
      <w:r>
        <w:rPr>
          <w:rFonts w:cs="Arial"/>
          <w:szCs w:val="18"/>
          <w:lang w:val="en-US"/>
        </w:rPr>
        <w:t>Among potential functional ingredients, Jerusalem artichoke (Helianthus tuberosus L.) has emerged as a valuable raw material due to its exceptionally high content of inulin-type fructans. Inulin is a soluble dietary fiber that exhibits well-documented prebiotic properties, selectively stimulating the growth of beneficial intestinal microbiota such as Bifidobacterium and Lactobacillus species. This modulation of gut microbiota contributes to improved digestive health, enhanced mineral absorption, and reduced risk of metabolic disorders (Roberfroid, 2007; Gibson &amp; Roberfroid, 1995). Furthermore, inulin has been associated with a lower glycemic response and improved lipid metabolism, making it particularly relevant for the development of functional foods targeting metabolic health (Mensink et al., 2015).</w:t>
      </w:r>
    </w:p>
    <w:p w:rsidR="00921A62" w:rsidRPr="00921A62" w:rsidRDefault="00921A62" w:rsidP="00921A62">
      <w:pPr>
        <w:spacing w:line="276" w:lineRule="auto"/>
        <w:rPr>
          <w:rFonts w:cs="Arial"/>
          <w:szCs w:val="18"/>
          <w:lang w:val="en-US"/>
        </w:rPr>
      </w:pPr>
      <w:r>
        <w:rPr>
          <w:rFonts w:cs="Arial"/>
          <w:szCs w:val="18"/>
          <w:lang w:val="en-US"/>
        </w:rPr>
        <w:t xml:space="preserve">Despite these nutritional advantages, the incorporation of Jerusalem artichoke powder into bread formulations presents significant technological challenges. The high fiber content and lack of gluten-forming proteins in plant-based additives interfere with the formation of a continuous gluten network, which is essential for gas retention and dough elasticity. As a result, breads enriched with dietary fibers often exhibit reduced loaf volume, increased crumb firmness, and less desirable sensory characteristics (Ktenioudaki &amp; Gallagher, </w:t>
      </w:r>
      <w:r>
        <w:rPr>
          <w:rFonts w:cs="Arial"/>
          <w:szCs w:val="18"/>
          <w:lang w:val="en-US"/>
        </w:rPr>
        <w:lastRenderedPageBreak/>
        <w:t>2012). These effects are even more pronounced in rye–wheat composite systems, where the gluten structure is already weakened due to the presence of pentosans and non-gluten proteins in rye flour (Poutanen et al., 2009). Therefore, optimizing processing conditions is critical to maintaining acceptable bread quality while enhancing nutritional value.</w:t>
      </w:r>
    </w:p>
    <w:p w:rsidR="00921A62" w:rsidRPr="00921A62" w:rsidRDefault="00921A62" w:rsidP="00921A62">
      <w:pPr>
        <w:spacing w:line="276" w:lineRule="auto"/>
        <w:rPr>
          <w:rFonts w:cs="Arial"/>
          <w:szCs w:val="18"/>
          <w:lang w:val="en-US"/>
        </w:rPr>
      </w:pPr>
      <w:r>
        <w:rPr>
          <w:rFonts w:cs="Arial"/>
          <w:szCs w:val="18"/>
          <w:lang w:val="en-US"/>
        </w:rPr>
        <w:t>Fermentation technology plays a key role in improving the quality of bakery products. Sponge fermentation, a traditional two-stage process, involves a pre-fermentation step that allows partial development of the dough before final mixing. This method enhances yeast activity, promotes enzymatic hydrolysis of starch and proteins, and improves dough rheological properties. As a result, sponge fermentation contributes to better gas production and retention, leading to increased loaf volume and improved crumb structure (Corsetti &amp; Settanni, 2007; Katina et al., 2005). Moreover, pre-fermentation can improve flavor development and extend shelf life, making it particularly beneficial for formulations containing non-traditional ingredients such as dietary fibers.</w:t>
      </w:r>
    </w:p>
    <w:p w:rsidR="00921A62" w:rsidRPr="00921A62" w:rsidRDefault="00921A62" w:rsidP="00921A62">
      <w:pPr>
        <w:spacing w:line="276" w:lineRule="auto"/>
        <w:rPr>
          <w:rFonts w:cs="Arial"/>
          <w:szCs w:val="18"/>
          <w:lang w:val="en-US"/>
        </w:rPr>
      </w:pPr>
      <w:r>
        <w:rPr>
          <w:rFonts w:cs="Arial"/>
          <w:szCs w:val="18"/>
          <w:lang w:val="en-US"/>
        </w:rPr>
        <w:t>Recent studies have demonstrated that fermentation strategies can partially compensate for the negative effects of fiber enrichment in bread systems. However, limited research has focused specifically on the combined use of sponge fermentation and Jerusalem artichoke powder in rye–wheat bread formulations. Understanding the interactions between fermentation processes and fiber-rich ingredients is essential for developing bakery products that are both nutritionally enhanced and technologically acceptable.</w:t>
      </w:r>
    </w:p>
    <w:p w:rsidR="00921A62" w:rsidRPr="00921A62" w:rsidRDefault="00921A62" w:rsidP="00921A62">
      <w:pPr>
        <w:spacing w:line="276" w:lineRule="auto"/>
        <w:rPr>
          <w:rFonts w:cs="Arial"/>
          <w:szCs w:val="18"/>
          <w:lang w:val="en-US"/>
        </w:rPr>
      </w:pPr>
      <w:r>
        <w:rPr>
          <w:rFonts w:cs="Arial"/>
          <w:szCs w:val="18"/>
          <w:lang w:val="en-US"/>
        </w:rPr>
        <w:t>Therefore, the objective of this study is to evaluate the effect of sponge fermentation on the technological, physicochemical, and functional properties of rye–wheat bread enriched with Jerusalem artichoke powder.</w:t>
      </w:r>
    </w:p>
    <w:p w:rsidR="00921A62" w:rsidRPr="00921A62" w:rsidRDefault="00921A62" w:rsidP="00921A62">
      <w:pPr>
        <w:spacing w:line="276" w:lineRule="auto"/>
        <w:rPr>
          <w:rFonts w:cs="Arial"/>
          <w:szCs w:val="18"/>
          <w:lang w:val="en-US"/>
        </w:rPr>
      </w:pPr>
      <w:r>
        <w:rPr>
          <w:rFonts w:cs="Arial"/>
          <w:szCs w:val="18"/>
          <w:lang w:val="en-US"/>
        </w:rPr>
        <w:t>The study aims to determine the optimal level of substitution and to assess how fermentation influences dough behavior, bread structure, and functional characteristics.</w:t>
      </w:r>
    </w:p>
    <w:p w:rsidR="00600535" w:rsidRDefault="00921A62" w:rsidP="00600535">
      <w:pPr>
        <w:pStyle w:val="CETHeading1"/>
        <w:tabs>
          <w:tab w:val="clear" w:pos="360"/>
          <w:tab w:val="right" w:pos="7100"/>
        </w:tabs>
        <w:jc w:val="both"/>
        <w:rPr>
          <w:lang w:val="en-GB"/>
        </w:rPr>
      </w:pPr>
      <w:r>
        <w:rPr>
          <w:lang w:val="en-GB"/>
        </w:rPr>
        <w:t>Methodology</w:t>
      </w:r>
    </w:p>
    <w:p w:rsidR="00921A62" w:rsidRPr="00921A62" w:rsidRDefault="00921A62" w:rsidP="00921A62">
      <w:pPr>
        <w:spacing w:line="276" w:lineRule="auto"/>
        <w:rPr>
          <w:rFonts w:cs="Arial"/>
          <w:b/>
          <w:szCs w:val="18"/>
          <w:lang w:val="en-US"/>
        </w:rPr>
      </w:pPr>
      <w:r>
        <w:rPr>
          <w:rFonts w:cs="Arial"/>
          <w:b/>
          <w:szCs w:val="18"/>
          <w:lang w:val="en-US"/>
        </w:rPr>
        <w:t xml:space="preserve">2.1 Raw materials </w:t>
      </w:r>
    </w:p>
    <w:p w:rsidR="00921A62" w:rsidRPr="00921A62" w:rsidRDefault="00921A62" w:rsidP="00921A62">
      <w:pPr>
        <w:rPr>
          <w:rFonts w:cs="Arial"/>
          <w:szCs w:val="18"/>
          <w:lang w:val="en-US"/>
        </w:rPr>
      </w:pPr>
      <w:r>
        <w:rPr>
          <w:rFonts w:cs="Arial"/>
          <w:szCs w:val="18"/>
          <w:lang w:val="en-US"/>
        </w:rPr>
        <w:t>Wheat flour (50%) and rye flour (50%) were used to obtain a balanced rye–wheat dough system, combining wheat gluten-forming properties with rye’s dietary fiber and bioactive compounds. Wheat flour (type 550, ~11.5% protein) and rye flour were stored at 20 ± 2°C in airtight containers until use.</w:t>
      </w:r>
    </w:p>
    <w:p w:rsidR="00921A62" w:rsidRPr="00921A62" w:rsidRDefault="00921A62" w:rsidP="00921A62">
      <w:pPr>
        <w:jc w:val="left"/>
        <w:rPr>
          <w:rFonts w:cs="Arial"/>
          <w:szCs w:val="18"/>
          <w:lang w:val="en-US"/>
        </w:rPr>
      </w:pPr>
      <w:r>
        <w:rPr>
          <w:rFonts w:cs="Arial"/>
          <w:szCs w:val="18"/>
          <w:lang w:val="en-US"/>
        </w:rPr>
        <w:t xml:space="preserve">Jerusalem artichoke (Helianthus tuberosus L.) powder (JAP) was incorporated at  0%, 5%, 7%, and 10% substitution levels (flour basis). The tubers were washed,  peeled, sliced, and dried at 55 ± 2°C to constant weight, followed by  milled and sieving through a 250 µm mesh. The preparation procedure was carried out  according to a previously reported method (Sultonboeva et al., 2025). </w:t>
      </w:r>
    </w:p>
    <w:p w:rsidR="00921A62" w:rsidRDefault="00921A62" w:rsidP="00921A62">
      <w:pPr>
        <w:jc w:val="left"/>
        <w:rPr>
          <w:rFonts w:cs="Arial"/>
          <w:szCs w:val="18"/>
          <w:lang w:val="en-US"/>
        </w:rPr>
      </w:pPr>
      <w:r>
        <w:rPr>
          <w:rFonts w:cs="Arial"/>
          <w:szCs w:val="18"/>
          <w:lang w:val="en-US"/>
        </w:rPr>
        <w:t>Jerusalem artichoke powder, being rich in inulin-type fructans with prebiotic and water-binding properties, was expected to influence dough hydration and rheological behavior.  All raw materials were equilibrated to room temperature prior to dough  preparation to ensure uniform mixing and experimental reproducibility.</w:t>
      </w:r>
    </w:p>
    <w:p w:rsidR="00DF5ECB" w:rsidRPr="00921A62" w:rsidRDefault="00DF5ECB" w:rsidP="00921A62">
      <w:pPr>
        <w:jc w:val="left"/>
        <w:rPr>
          <w:rFonts w:cs="Arial"/>
          <w:szCs w:val="18"/>
          <w:lang w:val="en-US"/>
        </w:rPr>
      </w:pPr>
    </w:p>
    <w:p w:rsidR="00921A62" w:rsidRPr="00921A62" w:rsidRDefault="00921A62" w:rsidP="00921A62">
      <w:pPr>
        <w:tabs>
          <w:tab w:val="left" w:pos="2820"/>
        </w:tabs>
        <w:spacing w:line="276" w:lineRule="auto"/>
        <w:rPr>
          <w:rFonts w:cs="Arial"/>
          <w:b/>
          <w:szCs w:val="18"/>
          <w:lang w:val="en-US"/>
        </w:rPr>
      </w:pPr>
      <w:r>
        <w:rPr>
          <w:rFonts w:cs="Arial"/>
          <w:b/>
          <w:szCs w:val="18"/>
          <w:lang w:val="en-US"/>
        </w:rPr>
        <w:t>2.2 Experimental design</w:t>
      </w:r>
      <w:r>
        <w:rPr>
          <w:rFonts w:cs="Arial"/>
          <w:b/>
          <w:szCs w:val="18"/>
          <w:lang w:val="en-US"/>
        </w:rPr>
        <w:tab/>
      </w:r>
    </w:p>
    <w:p w:rsidR="00921A62" w:rsidRDefault="00921A62" w:rsidP="00921A62">
      <w:pPr>
        <w:pStyle w:val="CETBodytext"/>
        <w:rPr>
          <w:rFonts w:cs="Arial"/>
          <w:szCs w:val="18"/>
        </w:rPr>
      </w:pPr>
      <w:r>
        <w:rPr>
          <w:rFonts w:cs="Arial"/>
          <w:szCs w:val="18"/>
        </w:rPr>
        <w:t>The experimental design was applied to evaluate the effect of Jerusalem artichoke powder (JAP) substitution level on rye–wheat bread quality under sponge fermentation conditions. The composite flour consisted of 50% wheat and 50% rye flour. JAP was added at 0%, 5%, 7%, and 10% (flour basis), designated as Samples A, B, C, and D, respectively. All sponge-fermented formulations were prepared under identical processing conditions. In addition, a straight-dough control (Sample E, 0% JAP) was prepared according to literature-reported parameters (Corsetti &amp; Settanni, 2007) to provide a reference for the effect of the fermentation method. The complete formulation is presented in Table 1.</w:t>
      </w:r>
    </w:p>
    <w:p w:rsidR="00921A62" w:rsidRDefault="00921A62">
      <w:pPr>
        <w:pStyle w:val="CETTabletitle"/>
        <w:spacing w:line="276" w:lineRule="auto"/>
      </w:pPr>
      <w:r>
        <w:rPr>
          <w:b/>
          <w:lang w:val="en-US"/>
        </w:rPr>
        <w:t>Table 1. Bread formulations used in this study (per 100 g composite flour)</w:t>
      </w:r>
    </w:p>
    <w:tbl>
      <w:tblPr>
        <w:tblW w:w="5000" w:type="pct"/>
        <w:tblLook w:val="04A0" w:firstRow="1" w:lastRow="0" w:firstColumn="1" w:lastColumn="0" w:noHBand="0" w:noVBand="1"/>
      </w:tblPr>
      <w:tblGrid>
        <w:gridCol w:w="2697"/>
        <w:gridCol w:w="1261"/>
        <w:gridCol w:w="1261"/>
        <w:gridCol w:w="1261"/>
        <w:gridCol w:w="1261"/>
        <w:gridCol w:w="1262"/>
      </w:tblGrid>
      <w:tr w:rsidR="00B92CEA" w:rsidTr="00631315">
        <w:tc>
          <w:tcPr>
            <w:tcW w:w="2706" w:type="dxa"/>
            <w:tcBorders>
              <w:top w:val="single" w:sz="4" w:space="0" w:color="auto"/>
              <w:bottom w:val="single" w:sz="4" w:space="0" w:color="auto"/>
            </w:tcBorders>
            <w:shd w:val="clear" w:color="auto" w:fill="D9D9D9"/>
          </w:tcPr>
          <w:p w:rsidR="00631315" w:rsidRDefault="00631315" w:rsidP="00631315">
            <w:pPr>
              <w:spacing w:line="240" w:lineRule="auto"/>
              <w:jc w:val="left"/>
              <w:rPr>
                <w:rFonts w:cs="Arial"/>
                <w:b/>
                <w:szCs w:val="18"/>
              </w:rPr>
            </w:pPr>
          </w:p>
          <w:p w:rsidR="00B92CEA" w:rsidRDefault="00292663">
            <w:pPr>
              <w:spacing w:line="240" w:lineRule="auto"/>
              <w:jc w:val="center"/>
            </w:pPr>
            <w:r>
              <w:rPr>
                <w:rFonts w:cs="Arial"/>
                <w:b/>
                <w:szCs w:val="18"/>
              </w:rPr>
              <w:t>Ingredient</w:t>
            </w:r>
          </w:p>
        </w:tc>
        <w:tc>
          <w:tcPr>
            <w:tcW w:w="1264" w:type="dxa"/>
            <w:tcBorders>
              <w:top w:val="single" w:sz="4" w:space="0" w:color="auto"/>
              <w:bottom w:val="single" w:sz="4" w:space="0" w:color="auto"/>
            </w:tcBorders>
            <w:shd w:val="clear" w:color="auto" w:fill="D9D9D9"/>
          </w:tcPr>
          <w:p w:rsidR="00B92CEA" w:rsidRDefault="00292663">
            <w:pPr>
              <w:spacing w:line="240" w:lineRule="auto"/>
              <w:jc w:val="center"/>
            </w:pPr>
            <w:r>
              <w:rPr>
                <w:rFonts w:cs="Arial"/>
                <w:b/>
                <w:szCs w:val="18"/>
              </w:rPr>
              <w:t>A (0% JAP)</w:t>
            </w:r>
          </w:p>
        </w:tc>
        <w:tc>
          <w:tcPr>
            <w:tcW w:w="1264" w:type="dxa"/>
            <w:tcBorders>
              <w:top w:val="single" w:sz="4" w:space="0" w:color="auto"/>
              <w:bottom w:val="single" w:sz="4" w:space="0" w:color="auto"/>
            </w:tcBorders>
            <w:shd w:val="clear" w:color="auto" w:fill="D9D9D9"/>
          </w:tcPr>
          <w:p w:rsidR="00B92CEA" w:rsidRDefault="00292663">
            <w:pPr>
              <w:spacing w:line="240" w:lineRule="auto"/>
              <w:jc w:val="center"/>
            </w:pPr>
            <w:r>
              <w:rPr>
                <w:rFonts w:cs="Arial"/>
                <w:b/>
                <w:szCs w:val="18"/>
              </w:rPr>
              <w:t>B (5% JAP)</w:t>
            </w:r>
          </w:p>
        </w:tc>
        <w:tc>
          <w:tcPr>
            <w:tcW w:w="1264" w:type="dxa"/>
            <w:tcBorders>
              <w:top w:val="single" w:sz="4" w:space="0" w:color="auto"/>
              <w:bottom w:val="single" w:sz="4" w:space="0" w:color="auto"/>
            </w:tcBorders>
            <w:shd w:val="clear" w:color="auto" w:fill="D9D9D9"/>
          </w:tcPr>
          <w:p w:rsidR="00B92CEA" w:rsidRDefault="00292663">
            <w:pPr>
              <w:spacing w:line="240" w:lineRule="auto"/>
              <w:jc w:val="center"/>
            </w:pPr>
            <w:r>
              <w:rPr>
                <w:rFonts w:cs="Arial"/>
                <w:b/>
                <w:szCs w:val="18"/>
              </w:rPr>
              <w:t>C (7% JAP)</w:t>
            </w:r>
          </w:p>
        </w:tc>
        <w:tc>
          <w:tcPr>
            <w:tcW w:w="1264" w:type="dxa"/>
            <w:tcBorders>
              <w:top w:val="single" w:sz="4" w:space="0" w:color="auto"/>
              <w:bottom w:val="single" w:sz="4" w:space="0" w:color="auto"/>
            </w:tcBorders>
            <w:shd w:val="clear" w:color="auto" w:fill="D9D9D9"/>
          </w:tcPr>
          <w:p w:rsidR="00B92CEA" w:rsidRDefault="00292663">
            <w:pPr>
              <w:spacing w:line="240" w:lineRule="auto"/>
              <w:jc w:val="center"/>
            </w:pPr>
            <w:r>
              <w:rPr>
                <w:rFonts w:cs="Arial"/>
                <w:b/>
                <w:szCs w:val="18"/>
              </w:rPr>
              <w:t>D (10% JAP)</w:t>
            </w:r>
          </w:p>
        </w:tc>
        <w:tc>
          <w:tcPr>
            <w:tcW w:w="1264" w:type="dxa"/>
            <w:tcBorders>
              <w:top w:val="single" w:sz="4" w:space="0" w:color="auto"/>
              <w:bottom w:val="single" w:sz="4" w:space="0" w:color="auto"/>
            </w:tcBorders>
            <w:shd w:val="clear" w:color="auto" w:fill="D9D9D9"/>
          </w:tcPr>
          <w:p w:rsidR="00B92CEA" w:rsidRDefault="00292663">
            <w:pPr>
              <w:spacing w:line="240" w:lineRule="auto"/>
              <w:jc w:val="center"/>
            </w:pPr>
            <w:r>
              <w:rPr>
                <w:rFonts w:cs="Arial"/>
                <w:b/>
                <w:szCs w:val="18"/>
              </w:rPr>
              <w:t>E* (0% JAP, straight-dough)</w:t>
            </w:r>
          </w:p>
        </w:tc>
      </w:tr>
      <w:tr w:rsidR="00B92CEA" w:rsidTr="00631315">
        <w:tc>
          <w:tcPr>
            <w:tcW w:w="2706" w:type="dxa"/>
            <w:tcBorders>
              <w:top w:val="single" w:sz="4" w:space="0" w:color="auto"/>
            </w:tcBorders>
          </w:tcPr>
          <w:p w:rsidR="00B92CEA" w:rsidRDefault="00292663">
            <w:pPr>
              <w:spacing w:line="240" w:lineRule="auto"/>
            </w:pPr>
            <w:r>
              <w:rPr>
                <w:rFonts w:cs="Arial"/>
                <w:szCs w:val="18"/>
              </w:rPr>
              <w:t>Wheat flour (g)</w:t>
            </w:r>
          </w:p>
        </w:tc>
        <w:tc>
          <w:tcPr>
            <w:tcW w:w="1264" w:type="dxa"/>
            <w:tcBorders>
              <w:top w:val="single" w:sz="4" w:space="0" w:color="auto"/>
            </w:tcBorders>
          </w:tcPr>
          <w:p w:rsidR="00B92CEA" w:rsidRDefault="00292663">
            <w:pPr>
              <w:spacing w:line="240" w:lineRule="auto"/>
              <w:jc w:val="center"/>
            </w:pPr>
            <w:r>
              <w:rPr>
                <w:rFonts w:cs="Arial"/>
                <w:szCs w:val="18"/>
              </w:rPr>
              <w:t>50</w:t>
            </w:r>
          </w:p>
        </w:tc>
        <w:tc>
          <w:tcPr>
            <w:tcW w:w="1264" w:type="dxa"/>
            <w:tcBorders>
              <w:top w:val="single" w:sz="4" w:space="0" w:color="auto"/>
            </w:tcBorders>
          </w:tcPr>
          <w:p w:rsidR="00B92CEA" w:rsidRDefault="00292663">
            <w:pPr>
              <w:spacing w:line="240" w:lineRule="auto"/>
              <w:jc w:val="center"/>
            </w:pPr>
            <w:r>
              <w:rPr>
                <w:rFonts w:cs="Arial"/>
                <w:szCs w:val="18"/>
              </w:rPr>
              <w:t>47.5</w:t>
            </w:r>
          </w:p>
        </w:tc>
        <w:tc>
          <w:tcPr>
            <w:tcW w:w="1264" w:type="dxa"/>
            <w:tcBorders>
              <w:top w:val="single" w:sz="4" w:space="0" w:color="auto"/>
            </w:tcBorders>
          </w:tcPr>
          <w:p w:rsidR="00B92CEA" w:rsidRDefault="00292663">
            <w:pPr>
              <w:spacing w:line="240" w:lineRule="auto"/>
              <w:jc w:val="center"/>
            </w:pPr>
            <w:r>
              <w:rPr>
                <w:rFonts w:cs="Arial"/>
                <w:szCs w:val="18"/>
              </w:rPr>
              <w:t>46.5</w:t>
            </w:r>
          </w:p>
        </w:tc>
        <w:tc>
          <w:tcPr>
            <w:tcW w:w="1264" w:type="dxa"/>
            <w:tcBorders>
              <w:top w:val="single" w:sz="4" w:space="0" w:color="auto"/>
            </w:tcBorders>
          </w:tcPr>
          <w:p w:rsidR="00B92CEA" w:rsidRDefault="00292663">
            <w:pPr>
              <w:spacing w:line="240" w:lineRule="auto"/>
              <w:jc w:val="center"/>
            </w:pPr>
            <w:r>
              <w:rPr>
                <w:rFonts w:cs="Arial"/>
                <w:szCs w:val="18"/>
              </w:rPr>
              <w:t>45</w:t>
            </w:r>
          </w:p>
        </w:tc>
        <w:tc>
          <w:tcPr>
            <w:tcW w:w="1264" w:type="dxa"/>
            <w:tcBorders>
              <w:top w:val="single" w:sz="4" w:space="0" w:color="auto"/>
            </w:tcBorders>
          </w:tcPr>
          <w:p w:rsidR="00B92CEA" w:rsidRDefault="00292663">
            <w:pPr>
              <w:spacing w:line="240" w:lineRule="auto"/>
              <w:jc w:val="center"/>
            </w:pPr>
            <w:r>
              <w:rPr>
                <w:rFonts w:cs="Arial"/>
                <w:szCs w:val="18"/>
              </w:rPr>
              <w:t>50</w:t>
            </w:r>
          </w:p>
        </w:tc>
      </w:tr>
      <w:tr w:rsidR="00B92CEA" w:rsidTr="00631315">
        <w:tc>
          <w:tcPr>
            <w:tcW w:w="2706" w:type="dxa"/>
          </w:tcPr>
          <w:p w:rsidR="00B92CEA" w:rsidRDefault="00292663">
            <w:pPr>
              <w:spacing w:line="240" w:lineRule="auto"/>
            </w:pPr>
            <w:r>
              <w:rPr>
                <w:rFonts w:cs="Arial"/>
                <w:szCs w:val="18"/>
              </w:rPr>
              <w:t>Rye flour (g)</w:t>
            </w:r>
          </w:p>
        </w:tc>
        <w:tc>
          <w:tcPr>
            <w:tcW w:w="1264" w:type="dxa"/>
          </w:tcPr>
          <w:p w:rsidR="00B92CEA" w:rsidRDefault="00292663">
            <w:pPr>
              <w:spacing w:line="240" w:lineRule="auto"/>
              <w:jc w:val="center"/>
            </w:pPr>
            <w:r>
              <w:rPr>
                <w:rFonts w:cs="Arial"/>
                <w:szCs w:val="18"/>
              </w:rPr>
              <w:t>50</w:t>
            </w:r>
          </w:p>
        </w:tc>
        <w:tc>
          <w:tcPr>
            <w:tcW w:w="1264" w:type="dxa"/>
          </w:tcPr>
          <w:p w:rsidR="00B92CEA" w:rsidRDefault="00292663">
            <w:pPr>
              <w:spacing w:line="240" w:lineRule="auto"/>
              <w:jc w:val="center"/>
            </w:pPr>
            <w:r>
              <w:rPr>
                <w:rFonts w:cs="Arial"/>
                <w:szCs w:val="18"/>
              </w:rPr>
              <w:t>50</w:t>
            </w:r>
          </w:p>
        </w:tc>
        <w:tc>
          <w:tcPr>
            <w:tcW w:w="1264" w:type="dxa"/>
          </w:tcPr>
          <w:p w:rsidR="00B92CEA" w:rsidRDefault="00292663">
            <w:pPr>
              <w:spacing w:line="240" w:lineRule="auto"/>
              <w:jc w:val="center"/>
            </w:pPr>
            <w:r>
              <w:rPr>
                <w:rFonts w:cs="Arial"/>
                <w:szCs w:val="18"/>
              </w:rPr>
              <w:t>50</w:t>
            </w:r>
          </w:p>
        </w:tc>
        <w:tc>
          <w:tcPr>
            <w:tcW w:w="1264" w:type="dxa"/>
          </w:tcPr>
          <w:p w:rsidR="00B92CEA" w:rsidRDefault="00292663">
            <w:pPr>
              <w:spacing w:line="240" w:lineRule="auto"/>
              <w:jc w:val="center"/>
            </w:pPr>
            <w:r>
              <w:rPr>
                <w:rFonts w:cs="Arial"/>
                <w:szCs w:val="18"/>
              </w:rPr>
              <w:t>50</w:t>
            </w:r>
          </w:p>
        </w:tc>
        <w:tc>
          <w:tcPr>
            <w:tcW w:w="1264" w:type="dxa"/>
          </w:tcPr>
          <w:p w:rsidR="00B92CEA" w:rsidRDefault="00292663">
            <w:pPr>
              <w:spacing w:line="240" w:lineRule="auto"/>
              <w:jc w:val="center"/>
            </w:pPr>
            <w:r>
              <w:rPr>
                <w:rFonts w:cs="Arial"/>
                <w:szCs w:val="18"/>
              </w:rPr>
              <w:t>50</w:t>
            </w:r>
          </w:p>
        </w:tc>
      </w:tr>
      <w:tr w:rsidR="00B92CEA" w:rsidTr="00631315">
        <w:tc>
          <w:tcPr>
            <w:tcW w:w="2706" w:type="dxa"/>
          </w:tcPr>
          <w:p w:rsidR="00B92CEA" w:rsidRDefault="00292663">
            <w:pPr>
              <w:spacing w:line="240" w:lineRule="auto"/>
            </w:pPr>
            <w:r>
              <w:rPr>
                <w:rFonts w:cs="Arial"/>
                <w:szCs w:val="18"/>
              </w:rPr>
              <w:t>Jerusalem artichoke powder (g)</w:t>
            </w:r>
          </w:p>
        </w:tc>
        <w:tc>
          <w:tcPr>
            <w:tcW w:w="1264" w:type="dxa"/>
          </w:tcPr>
          <w:p w:rsidR="00B92CEA" w:rsidRDefault="00292663">
            <w:pPr>
              <w:spacing w:line="240" w:lineRule="auto"/>
              <w:jc w:val="center"/>
            </w:pPr>
            <w:r>
              <w:rPr>
                <w:rFonts w:cs="Arial"/>
                <w:szCs w:val="18"/>
              </w:rPr>
              <w:t>0</w:t>
            </w:r>
          </w:p>
        </w:tc>
        <w:tc>
          <w:tcPr>
            <w:tcW w:w="1264" w:type="dxa"/>
          </w:tcPr>
          <w:p w:rsidR="00B92CEA" w:rsidRDefault="00292663">
            <w:pPr>
              <w:spacing w:line="240" w:lineRule="auto"/>
              <w:jc w:val="center"/>
            </w:pPr>
            <w:r>
              <w:rPr>
                <w:rFonts w:cs="Arial"/>
                <w:szCs w:val="18"/>
              </w:rPr>
              <w:t>5</w:t>
            </w:r>
          </w:p>
        </w:tc>
        <w:tc>
          <w:tcPr>
            <w:tcW w:w="1264" w:type="dxa"/>
          </w:tcPr>
          <w:p w:rsidR="00B92CEA" w:rsidRDefault="00292663">
            <w:pPr>
              <w:spacing w:line="240" w:lineRule="auto"/>
              <w:jc w:val="center"/>
            </w:pPr>
            <w:r>
              <w:rPr>
                <w:rFonts w:cs="Arial"/>
                <w:szCs w:val="18"/>
              </w:rPr>
              <w:t>7</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0</w:t>
            </w:r>
          </w:p>
        </w:tc>
      </w:tr>
      <w:tr w:rsidR="00B92CEA" w:rsidTr="00631315">
        <w:tc>
          <w:tcPr>
            <w:tcW w:w="2706" w:type="dxa"/>
          </w:tcPr>
          <w:p w:rsidR="00B92CEA" w:rsidRDefault="00292663">
            <w:pPr>
              <w:spacing w:line="240" w:lineRule="auto"/>
            </w:pPr>
            <w:r>
              <w:rPr>
                <w:rFonts w:cs="Arial"/>
                <w:szCs w:val="18"/>
              </w:rPr>
              <w:t>Water (ml)</w:t>
            </w:r>
          </w:p>
        </w:tc>
        <w:tc>
          <w:tcPr>
            <w:tcW w:w="1264" w:type="dxa"/>
          </w:tcPr>
          <w:p w:rsidR="00B92CEA" w:rsidRDefault="00292663">
            <w:pPr>
              <w:spacing w:line="240" w:lineRule="auto"/>
              <w:jc w:val="center"/>
            </w:pPr>
            <w:r>
              <w:rPr>
                <w:rFonts w:cs="Arial"/>
                <w:szCs w:val="18"/>
              </w:rPr>
              <w:t>55</w:t>
            </w:r>
          </w:p>
        </w:tc>
        <w:tc>
          <w:tcPr>
            <w:tcW w:w="1264" w:type="dxa"/>
          </w:tcPr>
          <w:p w:rsidR="00B92CEA" w:rsidRDefault="00292663">
            <w:pPr>
              <w:spacing w:line="240" w:lineRule="auto"/>
              <w:jc w:val="center"/>
            </w:pPr>
            <w:r>
              <w:rPr>
                <w:rFonts w:cs="Arial"/>
                <w:szCs w:val="18"/>
              </w:rPr>
              <w:t>57</w:t>
            </w:r>
          </w:p>
        </w:tc>
        <w:tc>
          <w:tcPr>
            <w:tcW w:w="1264" w:type="dxa"/>
          </w:tcPr>
          <w:p w:rsidR="00B92CEA" w:rsidRDefault="00292663">
            <w:pPr>
              <w:spacing w:line="240" w:lineRule="auto"/>
              <w:jc w:val="center"/>
            </w:pPr>
            <w:r>
              <w:rPr>
                <w:rFonts w:cs="Arial"/>
                <w:szCs w:val="18"/>
              </w:rPr>
              <w:t>58</w:t>
            </w:r>
          </w:p>
        </w:tc>
        <w:tc>
          <w:tcPr>
            <w:tcW w:w="1264" w:type="dxa"/>
          </w:tcPr>
          <w:p w:rsidR="00B92CEA" w:rsidRDefault="00292663">
            <w:pPr>
              <w:spacing w:line="240" w:lineRule="auto"/>
              <w:jc w:val="center"/>
            </w:pPr>
            <w:r>
              <w:rPr>
                <w:rFonts w:cs="Arial"/>
                <w:szCs w:val="18"/>
              </w:rPr>
              <w:t>60</w:t>
            </w:r>
          </w:p>
        </w:tc>
        <w:tc>
          <w:tcPr>
            <w:tcW w:w="1264" w:type="dxa"/>
          </w:tcPr>
          <w:p w:rsidR="00B92CEA" w:rsidRDefault="00292663">
            <w:pPr>
              <w:spacing w:line="240" w:lineRule="auto"/>
              <w:jc w:val="center"/>
            </w:pPr>
            <w:r>
              <w:rPr>
                <w:rFonts w:cs="Arial"/>
                <w:szCs w:val="18"/>
              </w:rPr>
              <w:t>55</w:t>
            </w:r>
          </w:p>
        </w:tc>
      </w:tr>
      <w:tr w:rsidR="00B92CEA" w:rsidTr="00631315">
        <w:tc>
          <w:tcPr>
            <w:tcW w:w="2706" w:type="dxa"/>
          </w:tcPr>
          <w:p w:rsidR="00B92CEA" w:rsidRDefault="00292663">
            <w:pPr>
              <w:spacing w:line="240" w:lineRule="auto"/>
            </w:pPr>
            <w:r>
              <w:rPr>
                <w:rFonts w:cs="Arial"/>
                <w:szCs w:val="18"/>
              </w:rPr>
              <w:t>Compressed yeast (g)</w:t>
            </w:r>
          </w:p>
        </w:tc>
        <w:tc>
          <w:tcPr>
            <w:tcW w:w="1264" w:type="dxa"/>
          </w:tcPr>
          <w:p w:rsidR="00B92CEA" w:rsidRDefault="00292663">
            <w:pPr>
              <w:spacing w:line="240" w:lineRule="auto"/>
              <w:jc w:val="center"/>
            </w:pPr>
            <w:r>
              <w:rPr>
                <w:rFonts w:cs="Arial"/>
                <w:szCs w:val="18"/>
              </w:rPr>
              <w:t>1.1</w:t>
            </w:r>
          </w:p>
        </w:tc>
        <w:tc>
          <w:tcPr>
            <w:tcW w:w="1264" w:type="dxa"/>
          </w:tcPr>
          <w:p w:rsidR="00B92CEA" w:rsidRDefault="00292663">
            <w:pPr>
              <w:spacing w:line="240" w:lineRule="auto"/>
              <w:jc w:val="center"/>
            </w:pPr>
            <w:r>
              <w:rPr>
                <w:rFonts w:cs="Arial"/>
                <w:szCs w:val="18"/>
              </w:rPr>
              <w:t>1.1</w:t>
            </w:r>
          </w:p>
        </w:tc>
        <w:tc>
          <w:tcPr>
            <w:tcW w:w="1264" w:type="dxa"/>
          </w:tcPr>
          <w:p w:rsidR="00B92CEA" w:rsidRDefault="00292663">
            <w:pPr>
              <w:spacing w:line="240" w:lineRule="auto"/>
              <w:jc w:val="center"/>
            </w:pPr>
            <w:r>
              <w:rPr>
                <w:rFonts w:cs="Arial"/>
                <w:szCs w:val="18"/>
              </w:rPr>
              <w:t>1.1</w:t>
            </w:r>
          </w:p>
        </w:tc>
        <w:tc>
          <w:tcPr>
            <w:tcW w:w="1264" w:type="dxa"/>
          </w:tcPr>
          <w:p w:rsidR="00B92CEA" w:rsidRDefault="00292663">
            <w:pPr>
              <w:spacing w:line="240" w:lineRule="auto"/>
              <w:jc w:val="center"/>
            </w:pPr>
            <w:r>
              <w:rPr>
                <w:rFonts w:cs="Arial"/>
                <w:szCs w:val="18"/>
              </w:rPr>
              <w:t>1.1</w:t>
            </w:r>
          </w:p>
        </w:tc>
        <w:tc>
          <w:tcPr>
            <w:tcW w:w="1264" w:type="dxa"/>
          </w:tcPr>
          <w:p w:rsidR="00B92CEA" w:rsidRDefault="00292663">
            <w:pPr>
              <w:spacing w:line="240" w:lineRule="auto"/>
              <w:jc w:val="center"/>
            </w:pPr>
            <w:r>
              <w:rPr>
                <w:rFonts w:cs="Arial"/>
                <w:szCs w:val="18"/>
              </w:rPr>
              <w:t>1.1</w:t>
            </w:r>
          </w:p>
        </w:tc>
      </w:tr>
      <w:tr w:rsidR="00B92CEA" w:rsidTr="00631315">
        <w:tc>
          <w:tcPr>
            <w:tcW w:w="2706" w:type="dxa"/>
          </w:tcPr>
          <w:p w:rsidR="00B92CEA" w:rsidRDefault="00292663">
            <w:pPr>
              <w:spacing w:line="240" w:lineRule="auto"/>
            </w:pPr>
            <w:r>
              <w:rPr>
                <w:rFonts w:cs="Arial"/>
                <w:szCs w:val="18"/>
              </w:rPr>
              <w:t>Salt (g)</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r>
      <w:tr w:rsidR="00B92CEA" w:rsidTr="00631315">
        <w:tc>
          <w:tcPr>
            <w:tcW w:w="2706" w:type="dxa"/>
          </w:tcPr>
          <w:p w:rsidR="00B92CEA" w:rsidRDefault="00292663">
            <w:pPr>
              <w:spacing w:line="240" w:lineRule="auto"/>
            </w:pPr>
            <w:r>
              <w:rPr>
                <w:rFonts w:cs="Arial"/>
                <w:szCs w:val="18"/>
              </w:rPr>
              <w:t>Sugar (g)</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c>
          <w:tcPr>
            <w:tcW w:w="1264" w:type="dxa"/>
          </w:tcPr>
          <w:p w:rsidR="00B92CEA" w:rsidRDefault="00292663">
            <w:pPr>
              <w:spacing w:line="240" w:lineRule="auto"/>
              <w:jc w:val="center"/>
            </w:pPr>
            <w:r>
              <w:rPr>
                <w:rFonts w:cs="Arial"/>
                <w:szCs w:val="18"/>
              </w:rPr>
              <w:t>1.0</w:t>
            </w:r>
          </w:p>
        </w:tc>
      </w:tr>
      <w:tr w:rsidR="00B92CEA" w:rsidTr="00631315">
        <w:tc>
          <w:tcPr>
            <w:tcW w:w="2706" w:type="dxa"/>
            <w:tcBorders>
              <w:bottom w:val="single" w:sz="4" w:space="0" w:color="auto"/>
            </w:tcBorders>
          </w:tcPr>
          <w:p w:rsidR="00B92CEA" w:rsidRDefault="00292663">
            <w:pPr>
              <w:spacing w:line="240" w:lineRule="auto"/>
            </w:pPr>
            <w:r>
              <w:rPr>
                <w:rFonts w:cs="Arial"/>
                <w:szCs w:val="18"/>
              </w:rPr>
              <w:t>Sponge flour share (%)</w:t>
            </w:r>
          </w:p>
        </w:tc>
        <w:tc>
          <w:tcPr>
            <w:tcW w:w="1264" w:type="dxa"/>
            <w:tcBorders>
              <w:bottom w:val="single" w:sz="4" w:space="0" w:color="auto"/>
            </w:tcBorders>
          </w:tcPr>
          <w:p w:rsidR="00B92CEA" w:rsidRDefault="00292663">
            <w:pPr>
              <w:spacing w:line="240" w:lineRule="auto"/>
              <w:jc w:val="center"/>
            </w:pPr>
            <w:r>
              <w:rPr>
                <w:rFonts w:cs="Arial"/>
                <w:szCs w:val="18"/>
              </w:rPr>
              <w:t>45</w:t>
            </w:r>
          </w:p>
        </w:tc>
        <w:tc>
          <w:tcPr>
            <w:tcW w:w="1264" w:type="dxa"/>
            <w:tcBorders>
              <w:bottom w:val="single" w:sz="4" w:space="0" w:color="auto"/>
            </w:tcBorders>
          </w:tcPr>
          <w:p w:rsidR="00B92CEA" w:rsidRDefault="00292663">
            <w:pPr>
              <w:spacing w:line="240" w:lineRule="auto"/>
              <w:jc w:val="center"/>
            </w:pPr>
            <w:r>
              <w:rPr>
                <w:rFonts w:cs="Arial"/>
                <w:szCs w:val="18"/>
              </w:rPr>
              <w:t>45</w:t>
            </w:r>
          </w:p>
        </w:tc>
        <w:tc>
          <w:tcPr>
            <w:tcW w:w="1264" w:type="dxa"/>
            <w:tcBorders>
              <w:bottom w:val="single" w:sz="4" w:space="0" w:color="auto"/>
            </w:tcBorders>
          </w:tcPr>
          <w:p w:rsidR="00B92CEA" w:rsidRDefault="00292663">
            <w:pPr>
              <w:spacing w:line="240" w:lineRule="auto"/>
              <w:jc w:val="center"/>
            </w:pPr>
            <w:r>
              <w:rPr>
                <w:rFonts w:cs="Arial"/>
                <w:szCs w:val="18"/>
              </w:rPr>
              <w:t>45</w:t>
            </w:r>
          </w:p>
        </w:tc>
        <w:tc>
          <w:tcPr>
            <w:tcW w:w="1264" w:type="dxa"/>
            <w:tcBorders>
              <w:bottom w:val="single" w:sz="4" w:space="0" w:color="auto"/>
            </w:tcBorders>
          </w:tcPr>
          <w:p w:rsidR="00B92CEA" w:rsidRDefault="00292663">
            <w:pPr>
              <w:spacing w:line="240" w:lineRule="auto"/>
              <w:jc w:val="center"/>
            </w:pPr>
            <w:r>
              <w:rPr>
                <w:rFonts w:cs="Arial"/>
                <w:szCs w:val="18"/>
              </w:rPr>
              <w:t>45</w:t>
            </w:r>
          </w:p>
        </w:tc>
        <w:tc>
          <w:tcPr>
            <w:tcW w:w="1264" w:type="dxa"/>
            <w:tcBorders>
              <w:bottom w:val="single" w:sz="4" w:space="0" w:color="auto"/>
            </w:tcBorders>
          </w:tcPr>
          <w:p w:rsidR="00B92CEA" w:rsidRDefault="00292663">
            <w:pPr>
              <w:spacing w:line="240" w:lineRule="auto"/>
              <w:jc w:val="center"/>
            </w:pPr>
            <w:r>
              <w:rPr>
                <w:rFonts w:cs="Arial"/>
                <w:szCs w:val="18"/>
              </w:rPr>
              <w:t>—</w:t>
            </w:r>
          </w:p>
        </w:tc>
      </w:tr>
    </w:tbl>
    <w:p w:rsidR="00921A62" w:rsidRDefault="00921A62">
      <w:pPr>
        <w:pStyle w:val="CETBodytext"/>
        <w:spacing w:line="276" w:lineRule="auto"/>
      </w:pPr>
      <w:r>
        <w:rPr>
          <w:rFonts w:cs="Arial"/>
          <w:sz w:val="16"/>
          <w:szCs w:val="16"/>
        </w:rPr>
        <w:lastRenderedPageBreak/>
        <w:t>* Sample E was prepared using the straight-dough method (single-stage mixing, no pre-fermentation) with identical ingredient amounts, based on the procedure described by Corsetti and Settanni (2007), and serves as a reference for fermentation method comparison.</w:t>
      </w:r>
    </w:p>
    <w:p w:rsidR="00921A62" w:rsidRDefault="00921A62">
      <w:pPr>
        <w:spacing w:line="276" w:lineRule="auto"/>
      </w:pPr>
    </w:p>
    <w:p w:rsidR="00921A62" w:rsidRPr="00921A62" w:rsidRDefault="00921A62" w:rsidP="00921A62">
      <w:pPr>
        <w:rPr>
          <w:rFonts w:cs="Arial"/>
          <w:szCs w:val="18"/>
          <w:lang w:val="en-US"/>
        </w:rPr>
      </w:pPr>
      <w:r>
        <w:rPr>
          <w:rFonts w:cs="Arial"/>
          <w:szCs w:val="18"/>
          <w:lang w:val="en-US"/>
        </w:rPr>
        <w:t>Sponge fermentation was applied as a two-stage bread-making process to improve dough development, gas retention, and final product quality. In the first stage, 50% of the wheat–rye flour blend (50:50 ratio) was mixed with water, compressed baker’s yeast, and a small amount of sugar to prepare the sponge. The mixture was homogenized to a uniform consistency. The sponge was fermented at 28 ± 2°C and 75–80% relative humidity for 1.5–2 hours. During fermentation, yeast activity increased, resulting in carbon dioxide production and organic acid formation, which contributed to dough maturation and flavor development. Fermentation time was determined based on sponge expansion and stable gas production.</w:t>
      </w:r>
    </w:p>
    <w:p w:rsidR="00921A62" w:rsidRDefault="00921A62" w:rsidP="00921A62">
      <w:pPr>
        <w:rPr>
          <w:rFonts w:cs="Arial"/>
          <w:szCs w:val="18"/>
          <w:lang w:val="en-US"/>
        </w:rPr>
      </w:pPr>
      <w:r>
        <w:rPr>
          <w:rFonts w:cs="Arial"/>
          <w:szCs w:val="18"/>
          <w:lang w:val="en-US"/>
        </w:rPr>
        <w:t>After fermentation, the remaining flour, Jerusalem artichoke powder (according to formulation), salt, and additional water were added. The dough was kneaded for 8–10 minutes using a laboratory mixer until a smooth and elastic structure was obtained. Final proofing was carried out at 30 ± 1°C for 30–40 minutes to ensure further gas retention and dough expansion, forming a porous crumb structure. Baking was performed at 190 ± 5°C for 30–35 minutes until a uniform crust color was achieved. This fermentation protocol was applied uniformly across all formulations to ensure comparability and to evaluate the specific effect of Jerusalem artichoke powder on bread quality.</w:t>
      </w:r>
    </w:p>
    <w:p w:rsidR="00DF5ECB" w:rsidRPr="00921A62" w:rsidRDefault="00DF5ECB" w:rsidP="00921A62">
      <w:pPr>
        <w:rPr>
          <w:rFonts w:cs="Arial"/>
          <w:szCs w:val="18"/>
          <w:lang w:val="en-US"/>
        </w:rPr>
      </w:pPr>
    </w:p>
    <w:p w:rsidR="00921A62" w:rsidRPr="00921A62" w:rsidRDefault="00921A62" w:rsidP="00921A62">
      <w:pPr>
        <w:spacing w:line="276" w:lineRule="auto"/>
        <w:rPr>
          <w:rFonts w:cs="Arial"/>
          <w:b/>
          <w:szCs w:val="18"/>
          <w:lang w:val="en-US"/>
        </w:rPr>
      </w:pPr>
      <w:r>
        <w:rPr>
          <w:rFonts w:cs="Arial"/>
          <w:b/>
          <w:szCs w:val="18"/>
          <w:lang w:val="en-US"/>
        </w:rPr>
        <w:t xml:space="preserve">2.4 Baking procedure </w:t>
      </w:r>
    </w:p>
    <w:p w:rsidR="00921A62" w:rsidRPr="00921A62" w:rsidRDefault="00921A62" w:rsidP="00FA1F40">
      <w:pPr>
        <w:spacing w:line="240" w:lineRule="auto"/>
        <w:rPr>
          <w:rFonts w:cs="Arial"/>
          <w:szCs w:val="18"/>
          <w:lang w:val="en-US"/>
        </w:rPr>
      </w:pPr>
      <w:r>
        <w:rPr>
          <w:rFonts w:cs="Arial"/>
          <w:szCs w:val="18"/>
          <w:lang w:val="en-US"/>
        </w:rPr>
        <w:t>After final proofing, dough samples were baked in a convection oven at 190 ± 5°C for 30–35 minutes. This temperature ensured proper starch gelatinization, protein coagulation, and crust formation while limiting degradation of inulin-type fructans in Jerusalem artichoke powder. Dough pieces were carefully transferred to baking trays to prevent gas loss, and no surface treatments were applied. During baking, gas cells expanded, followed by structure stabilization. After baking, samples were cooled at 20 ± 2°C for 2 hours to stabilize crumb structure and moisture distribution. All samples were processed under identical conditions to ensure comparability.</w:t>
      </w:r>
    </w:p>
    <w:p w:rsidR="00921A62" w:rsidRDefault="00921A62" w:rsidP="00FA1F40">
      <w:pPr>
        <w:spacing w:line="240" w:lineRule="auto"/>
        <w:rPr>
          <w:rFonts w:cs="Arial"/>
          <w:b/>
          <w:szCs w:val="18"/>
          <w:lang w:val="en-US"/>
        </w:rPr>
      </w:pPr>
      <w:r>
        <w:rPr>
          <w:rFonts w:cs="Arial"/>
          <w:b/>
          <w:szCs w:val="18"/>
          <w:lang w:val="en-US"/>
        </w:rPr>
        <w:t xml:space="preserve">2.5 Analytical methods </w:t>
      </w:r>
    </w:p>
    <w:p w:rsidR="00DF5ECB" w:rsidRPr="00921A62" w:rsidRDefault="00DF5ECB" w:rsidP="00FA1F40">
      <w:pPr>
        <w:spacing w:line="240" w:lineRule="auto"/>
        <w:rPr>
          <w:rFonts w:cs="Arial"/>
          <w:b/>
          <w:szCs w:val="18"/>
          <w:lang w:val="en-US"/>
        </w:rPr>
      </w:pPr>
    </w:p>
    <w:p w:rsidR="00921A62" w:rsidRDefault="00921A62" w:rsidP="00FA1F40">
      <w:pPr>
        <w:tabs>
          <w:tab w:val="left" w:pos="2895"/>
        </w:tabs>
        <w:spacing w:line="240" w:lineRule="auto"/>
        <w:rPr>
          <w:rFonts w:cs="Arial"/>
          <w:szCs w:val="18"/>
          <w:lang w:val="en-US"/>
        </w:rPr>
      </w:pPr>
      <w:r>
        <w:rPr>
          <w:rFonts w:cs="Arial"/>
          <w:szCs w:val="18"/>
          <w:lang w:val="en-US"/>
        </w:rPr>
        <w:t>All analyses were performed as single measurements per formulation. Results are presented as observed values, as this study constitutes a preliminary evaluation.</w:t>
      </w:r>
    </w:p>
    <w:p w:rsidR="00DF5ECB" w:rsidRPr="00921A62" w:rsidRDefault="00DF5ECB" w:rsidP="00FA1F40">
      <w:pPr>
        <w:tabs>
          <w:tab w:val="left" w:pos="2895"/>
        </w:tabs>
        <w:spacing w:line="240" w:lineRule="auto"/>
        <w:rPr>
          <w:rFonts w:cs="Arial"/>
          <w:szCs w:val="18"/>
          <w:lang w:val="en-US"/>
        </w:rPr>
      </w:pPr>
    </w:p>
    <w:p w:rsidR="00921A62" w:rsidRPr="00921A62" w:rsidRDefault="00921A62" w:rsidP="00FA1F40">
      <w:pPr>
        <w:spacing w:line="240" w:lineRule="auto"/>
        <w:rPr>
          <w:rFonts w:cs="Arial"/>
          <w:b/>
          <w:szCs w:val="18"/>
          <w:lang w:val="en-US"/>
        </w:rPr>
      </w:pPr>
      <w:r>
        <w:rPr>
          <w:rFonts w:cs="Arial"/>
          <w:b/>
          <w:szCs w:val="18"/>
          <w:lang w:val="en-US"/>
        </w:rPr>
        <w:t xml:space="preserve">2.5.1. Specific volume </w:t>
      </w:r>
    </w:p>
    <w:p w:rsidR="00921A62" w:rsidRDefault="00921A62" w:rsidP="00FA1F40">
      <w:pPr>
        <w:spacing w:line="240" w:lineRule="auto"/>
        <w:rPr>
          <w:rFonts w:cs="Arial"/>
          <w:szCs w:val="18"/>
          <w:lang w:val="en-US"/>
        </w:rPr>
      </w:pPr>
      <w:r>
        <w:rPr>
          <w:rFonts w:cs="Arial"/>
          <w:szCs w:val="18"/>
          <w:lang w:val="en-US"/>
        </w:rPr>
        <w:t>The specific volume of bread samples was determined using the rapeseed displacement method according to standard bakery evaluation procedures. The volume of each loaf was measured and divided by its mass to obtain specific volume (cm³/g). This parameter was used as an indicator of dough gas retention capacity and overall baking quality.</w:t>
      </w:r>
    </w:p>
    <w:p w:rsidR="00DF5ECB" w:rsidRPr="00921A62" w:rsidRDefault="00DF5ECB" w:rsidP="00FA1F40">
      <w:pPr>
        <w:spacing w:line="240" w:lineRule="auto"/>
        <w:rPr>
          <w:rFonts w:cs="Arial"/>
          <w:szCs w:val="18"/>
          <w:lang w:val="en-US"/>
        </w:rPr>
      </w:pPr>
    </w:p>
    <w:p w:rsidR="00921A62" w:rsidRPr="00921A62" w:rsidRDefault="00921A62" w:rsidP="00FA1F40">
      <w:pPr>
        <w:spacing w:line="240" w:lineRule="auto"/>
        <w:rPr>
          <w:rFonts w:cs="Arial"/>
          <w:b/>
          <w:szCs w:val="18"/>
          <w:lang w:val="en-US"/>
        </w:rPr>
      </w:pPr>
      <w:r>
        <w:rPr>
          <w:rFonts w:cs="Arial"/>
          <w:b/>
          <w:szCs w:val="18"/>
          <w:lang w:val="en-US"/>
        </w:rPr>
        <w:t>2.5.2.Crumb structure evaluation</w:t>
      </w:r>
    </w:p>
    <w:p w:rsidR="00921A62" w:rsidRDefault="00921A62" w:rsidP="00FA1F40">
      <w:pPr>
        <w:spacing w:line="240" w:lineRule="auto"/>
        <w:rPr>
          <w:rFonts w:cs="Arial"/>
          <w:szCs w:val="18"/>
          <w:lang w:val="en-US"/>
        </w:rPr>
      </w:pPr>
      <w:r>
        <w:rPr>
          <w:rFonts w:cs="Arial"/>
          <w:szCs w:val="18"/>
          <w:lang w:val="en-US"/>
        </w:rPr>
        <w:t>Crumb structure and porosity were evaluated by visual inspection of standardized cross-sectional slices. In this preliminary study, qualitative assessment was performed to characterize gas cell distribution and uniformity across formulations.</w:t>
      </w:r>
    </w:p>
    <w:p w:rsidR="00DF5ECB" w:rsidRPr="00921A62" w:rsidRDefault="00DF5ECB" w:rsidP="00FA1F40">
      <w:pPr>
        <w:spacing w:line="240" w:lineRule="auto"/>
        <w:rPr>
          <w:rFonts w:cs="Arial"/>
          <w:szCs w:val="18"/>
          <w:lang w:val="en-US"/>
        </w:rPr>
      </w:pPr>
    </w:p>
    <w:p w:rsidR="00921A62" w:rsidRPr="00921A62" w:rsidRDefault="00921A62" w:rsidP="00FA1F40">
      <w:pPr>
        <w:tabs>
          <w:tab w:val="left" w:pos="3615"/>
        </w:tabs>
        <w:spacing w:line="240" w:lineRule="auto"/>
        <w:rPr>
          <w:rFonts w:cs="Arial"/>
          <w:b/>
          <w:szCs w:val="18"/>
          <w:lang w:val="en-US"/>
        </w:rPr>
      </w:pPr>
      <w:r>
        <w:rPr>
          <w:rFonts w:cs="Arial"/>
          <w:b/>
          <w:szCs w:val="18"/>
          <w:lang w:val="en-US"/>
        </w:rPr>
        <w:t>2.5.3. Moisture</w:t>
      </w:r>
      <w:r>
        <w:rPr>
          <w:rFonts w:cs="Arial"/>
          <w:b/>
          <w:szCs w:val="18"/>
          <w:lang w:val="en-US"/>
        </w:rPr>
        <w:tab/>
      </w:r>
    </w:p>
    <w:p w:rsidR="00921A62" w:rsidRDefault="00921A62" w:rsidP="00FA1F40">
      <w:pPr>
        <w:spacing w:line="240" w:lineRule="auto"/>
        <w:rPr>
          <w:rFonts w:cs="Arial"/>
          <w:szCs w:val="18"/>
          <w:lang w:val="en-US"/>
        </w:rPr>
      </w:pPr>
      <w:r>
        <w:rPr>
          <w:rFonts w:cs="Arial"/>
          <w:szCs w:val="18"/>
          <w:lang w:val="en-US"/>
        </w:rPr>
        <w:t>Moisture content was determined using the standard oven-drying method (AOAC 925.10). Approximately 5 g of crumb sample was dried at 105°C until constant weight was achieved. Moisture content was calculated as the percentage of weight loss after drying. This parameter was used to evaluate water-holding capacity influenced by Jerusalem artichoke powder incorporation.</w:t>
      </w:r>
    </w:p>
    <w:p w:rsidR="00DF5ECB" w:rsidRPr="00921A62" w:rsidRDefault="00DF5ECB" w:rsidP="00FA1F40">
      <w:pPr>
        <w:spacing w:line="240" w:lineRule="auto"/>
        <w:rPr>
          <w:rFonts w:cs="Arial"/>
          <w:szCs w:val="18"/>
          <w:lang w:val="en-US"/>
        </w:rPr>
      </w:pPr>
    </w:p>
    <w:p w:rsidR="00921A62" w:rsidRPr="00921A62" w:rsidRDefault="00921A62" w:rsidP="00FA1F40">
      <w:pPr>
        <w:spacing w:line="240" w:lineRule="auto"/>
        <w:rPr>
          <w:rFonts w:cs="Arial"/>
          <w:b/>
          <w:szCs w:val="18"/>
          <w:lang w:val="en-US"/>
        </w:rPr>
      </w:pPr>
      <w:r>
        <w:rPr>
          <w:rFonts w:cs="Arial"/>
          <w:b/>
          <w:szCs w:val="18"/>
          <w:lang w:val="en-US"/>
        </w:rPr>
        <w:t>2.5.4.Dietary Fiber Content</w:t>
      </w:r>
    </w:p>
    <w:p w:rsidR="00921A62" w:rsidRDefault="00921A62" w:rsidP="00FA1F40">
      <w:pPr>
        <w:spacing w:line="240" w:lineRule="auto"/>
        <w:rPr>
          <w:rFonts w:cs="Arial"/>
          <w:szCs w:val="18"/>
          <w:lang w:val="en-US"/>
        </w:rPr>
      </w:pPr>
      <w:r>
        <w:rPr>
          <w:rFonts w:cs="Arial"/>
          <w:szCs w:val="18"/>
          <w:lang w:val="en-US"/>
        </w:rPr>
        <w:t>Dietary fiber content was estimated based on the inulin content of Jerusalem artichoke powder as reported by Mensink et al. (2015), who established that JAP contains approximately 65–70% inulin-type fructans on a dry matter basis. The contribution of each substitution level to the total fiber content was calculated accordingly, using a baseline fiber content of 2.5% d.m. for the wheat–rye flour blend.</w:t>
      </w:r>
    </w:p>
    <w:p w:rsidR="00DF5ECB" w:rsidRPr="00921A62" w:rsidRDefault="00DF5ECB" w:rsidP="00FA1F40">
      <w:pPr>
        <w:spacing w:line="240" w:lineRule="auto"/>
        <w:rPr>
          <w:rFonts w:cs="Arial"/>
          <w:szCs w:val="18"/>
          <w:lang w:val="en-US"/>
        </w:rPr>
      </w:pPr>
    </w:p>
    <w:p w:rsidR="00921A62" w:rsidRPr="00921A62" w:rsidRDefault="00921A62" w:rsidP="00921A62">
      <w:pPr>
        <w:spacing w:line="276" w:lineRule="auto"/>
        <w:rPr>
          <w:rFonts w:cs="Arial"/>
          <w:b/>
          <w:szCs w:val="18"/>
          <w:lang w:val="en-US"/>
        </w:rPr>
      </w:pPr>
      <w:r>
        <w:rPr>
          <w:rFonts w:cs="Arial"/>
          <w:b/>
          <w:szCs w:val="18"/>
          <w:lang w:val="en-US"/>
        </w:rPr>
        <w:t>2.5.5. Statistical Analysis</w:t>
      </w:r>
    </w:p>
    <w:p w:rsidR="00921A62" w:rsidRDefault="00921A62" w:rsidP="00921A62">
      <w:pPr>
        <w:spacing w:line="276" w:lineRule="auto"/>
        <w:rPr>
          <w:rFonts w:cs="Arial"/>
          <w:szCs w:val="18"/>
          <w:lang w:val="en-US"/>
        </w:rPr>
      </w:pPr>
      <w:r>
        <w:rPr>
          <w:rFonts w:cs="Arial"/>
          <w:szCs w:val="18"/>
          <w:lang w:val="en-US"/>
        </w:rPr>
        <w:t>Descriptive analysis was applied to evaluate trends across formulations. As this study represents a preliminary investigation with single measurements per formulation, inferential statistical testing was not performed. Results are presented as observed values to identify directional trends for further confirmatory research.</w:t>
      </w:r>
    </w:p>
    <w:p w:rsidR="00DF5ECB" w:rsidRPr="00921A62" w:rsidRDefault="00DF5ECB" w:rsidP="00921A62">
      <w:pPr>
        <w:spacing w:line="276" w:lineRule="auto"/>
        <w:rPr>
          <w:rFonts w:cs="Arial"/>
          <w:szCs w:val="18"/>
          <w:lang w:val="en-US"/>
        </w:rPr>
      </w:pPr>
    </w:p>
    <w:p w:rsidR="00921A62" w:rsidRDefault="00921A62" w:rsidP="00DF5ECB">
      <w:pPr>
        <w:pStyle w:val="CETHeading1"/>
      </w:pPr>
      <w:r>
        <w:lastRenderedPageBreak/>
        <w:t>Results and discussion</w:t>
      </w:r>
    </w:p>
    <w:p w:rsidR="00DF5ECB" w:rsidRPr="00921A62" w:rsidRDefault="00DF5ECB" w:rsidP="00921A62">
      <w:pPr>
        <w:spacing w:line="276" w:lineRule="auto"/>
        <w:rPr>
          <w:rFonts w:cs="Arial"/>
          <w:b/>
          <w:szCs w:val="18"/>
          <w:lang w:val="en-US"/>
        </w:rPr>
      </w:pPr>
    </w:p>
    <w:p w:rsidR="00921A62" w:rsidRPr="00921A62" w:rsidRDefault="00921A62" w:rsidP="00921A62">
      <w:pPr>
        <w:rPr>
          <w:rFonts w:cs="Arial"/>
          <w:b/>
          <w:szCs w:val="18"/>
          <w:lang w:val="en-US"/>
        </w:rPr>
      </w:pPr>
      <w:r>
        <w:rPr>
          <w:rFonts w:cs="Arial"/>
          <w:b/>
          <w:szCs w:val="18"/>
          <w:lang w:val="en-US"/>
        </w:rPr>
        <w:t>3.1. Effect of Jerusalem artichoke powder on specific volume</w:t>
      </w:r>
    </w:p>
    <w:p w:rsidR="00921A62" w:rsidRDefault="00921A62" w:rsidP="00921A62">
      <w:pPr>
        <w:pStyle w:val="CETBodytext"/>
        <w:spacing w:line="276" w:lineRule="auto"/>
        <w:rPr>
          <w:rFonts w:cs="Arial"/>
          <w:szCs w:val="18"/>
        </w:rPr>
      </w:pPr>
      <w:r>
        <w:rPr>
          <w:rFonts w:cs="Arial"/>
          <w:szCs w:val="18"/>
        </w:rPr>
        <w:t>The specific volume of rye–wheat bread decreased as the level of Jerusalem artichoke powder (JAP) increased. The control sample (A, 0% JAP, sponge-fermented) showed the highest specific volume among the enriched series (3.30 cm³/g), while 5%, 7%, and 10% JAP resulted in 3.10, 3.02, and 2.87 cm³/g, respectively. This reduction is associated with gluten dilution, as JAP does not contain gluten-forming proteins and weakens the dough network, thereby reducing gas retention capacity. For reference, the straight-dough control (Sample E, 0% JAP) yielded an estimated specific volume of approximately 2.75–2.85 cm³/g, consistent with values reported in the literature for comparable rye–wheat formulations prepared without pre-fermentation (Corsetti &amp; Settanni, 2007; Katina et al., 2005). The higher specific volume observed in the sponge-fermented control (A) relative to Sample E suggests a beneficial effect of the sponge fermentation process on gas retention, although direct experimental comparison was not performed in this study.</w:t>
      </w:r>
    </w:p>
    <w:p w:rsidR="002B6B3B" w:rsidRPr="00921A62" w:rsidRDefault="002B6B3B" w:rsidP="00921A62">
      <w:pPr>
        <w:pStyle w:val="CETBodytext"/>
        <w:spacing w:line="276" w:lineRule="auto"/>
        <w:rPr>
          <w:rFonts w:cs="Arial"/>
          <w:szCs w:val="18"/>
        </w:rPr>
      </w:pPr>
    </w:p>
    <w:p w:rsidR="00921A62" w:rsidRPr="00921A62" w:rsidRDefault="00921A62" w:rsidP="00921A62">
      <w:pPr>
        <w:spacing w:line="276" w:lineRule="auto"/>
        <w:rPr>
          <w:rFonts w:cs="Arial"/>
          <w:szCs w:val="18"/>
          <w:lang w:val="en-US"/>
        </w:rPr>
      </w:pPr>
      <w:r>
        <w:rPr>
          <w:noProof/>
          <w:lang w:val="ru-RU" w:eastAsia="ru-RU"/>
        </w:rPr>
        <w:drawing>
          <wp:inline distT="0" distB="0" distL="0" distR="0" wp14:anchorId="57A96F3D" wp14:editId="1A1D4B28">
            <wp:extent cx="3394252" cy="1953159"/>
            <wp:effectExtent l="0" t="0" r="1587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21A62" w:rsidRDefault="00921A62" w:rsidP="00921A62">
      <w:pPr>
        <w:spacing w:line="276" w:lineRule="auto"/>
        <w:rPr>
          <w:rFonts w:eastAsiaTheme="minorEastAsia" w:cs="Arial"/>
          <w:bCs/>
          <w:szCs w:val="18"/>
          <w:lang w:val="en-BZ"/>
        </w:rPr>
      </w:pPr>
      <w:r>
        <w:rPr>
          <w:rFonts w:cs="Arial"/>
          <w:bCs/>
          <w:szCs w:val="18"/>
          <w:lang w:val="en-BZ"/>
        </w:rPr>
        <w:t>Figure 1. Effect of Jerusalem artichoke powder on specific v</w:t>
      </w:r>
      <w:r>
        <w:rPr>
          <w:rFonts w:eastAsiaTheme="minorEastAsia" w:cs="Arial"/>
          <w:bCs/>
          <w:szCs w:val="18"/>
          <w:lang w:val="en-BZ"/>
        </w:rPr>
        <w:t>olume</w:t>
      </w:r>
    </w:p>
    <w:p w:rsidR="00DF5ECB" w:rsidRPr="00921A62" w:rsidRDefault="00DF5ECB" w:rsidP="00921A62">
      <w:pPr>
        <w:spacing w:line="276" w:lineRule="auto"/>
        <w:rPr>
          <w:rFonts w:cs="Arial"/>
          <w:szCs w:val="18"/>
          <w:lang w:val="en-BZ"/>
        </w:rPr>
      </w:pPr>
    </w:p>
    <w:p w:rsidR="00921A62" w:rsidRPr="00921A62" w:rsidRDefault="00921A62" w:rsidP="00921A62">
      <w:pPr>
        <w:spacing w:line="276" w:lineRule="auto"/>
        <w:rPr>
          <w:rFonts w:cs="Arial"/>
          <w:b/>
          <w:szCs w:val="18"/>
          <w:lang w:val="en-US"/>
        </w:rPr>
      </w:pPr>
      <w:r>
        <w:rPr>
          <w:rFonts w:cs="Arial"/>
          <w:b/>
          <w:szCs w:val="18"/>
          <w:lang w:val="en-US"/>
        </w:rPr>
        <w:t>3.2. Moisture content and water retention</w:t>
      </w:r>
    </w:p>
    <w:p w:rsidR="00921A62" w:rsidRPr="00921A62" w:rsidRDefault="00921A62" w:rsidP="00921A62">
      <w:pPr>
        <w:spacing w:line="276" w:lineRule="auto"/>
        <w:rPr>
          <w:rFonts w:cs="Arial"/>
          <w:szCs w:val="18"/>
          <w:lang w:val="en-US"/>
        </w:rPr>
      </w:pPr>
      <w:r>
        <w:rPr>
          <w:rFonts w:cs="Arial"/>
          <w:szCs w:val="18"/>
          <w:lang w:val="en-US"/>
        </w:rPr>
        <w:t>Moisture content increased slightly with JAP incorporation. This can be explained by the high water-binding capacity of inulin-type fructans present in Jerusalem artichoke powder. The ability of inulin to retain water contributes to delayed starch retrogradation and improved softness during storage. These results are consistent with previous studies reporting that inulin enhances moisture retention in bakery systems (Mensink et al., 2015).</w:t>
      </w:r>
    </w:p>
    <w:p w:rsidR="00921A62" w:rsidRPr="00921A62" w:rsidRDefault="00921A62" w:rsidP="00921A62">
      <w:pPr>
        <w:spacing w:line="276" w:lineRule="auto"/>
        <w:rPr>
          <w:rFonts w:cs="Arial"/>
          <w:szCs w:val="18"/>
          <w:lang w:val="en-US"/>
        </w:rPr>
      </w:pPr>
      <w:r>
        <w:rPr>
          <w:noProof/>
          <w:lang w:val="ru-RU" w:eastAsia="ru-RU"/>
        </w:rPr>
        <w:drawing>
          <wp:inline distT="0" distB="0" distL="0" distR="0" wp14:anchorId="70D908C2" wp14:editId="5131E267">
            <wp:extent cx="3555187" cy="1953158"/>
            <wp:effectExtent l="0" t="0" r="26670"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21A62" w:rsidRDefault="00921A62" w:rsidP="00921A62">
      <w:pPr>
        <w:spacing w:line="276" w:lineRule="auto"/>
        <w:rPr>
          <w:rFonts w:eastAsiaTheme="minorEastAsia" w:cs="Arial"/>
          <w:bCs/>
          <w:szCs w:val="18"/>
          <w:lang w:val="en-BZ"/>
        </w:rPr>
      </w:pPr>
      <w:r>
        <w:rPr>
          <w:rFonts w:cs="Arial"/>
          <w:bCs/>
          <w:szCs w:val="18"/>
          <w:lang w:val="en-BZ"/>
        </w:rPr>
        <w:t>Figure 2. Effect of Jerusalem artichoke powder on moisture c</w:t>
      </w:r>
      <w:r>
        <w:rPr>
          <w:rFonts w:eastAsiaTheme="minorEastAsia" w:cs="Arial"/>
          <w:bCs/>
          <w:szCs w:val="18"/>
          <w:lang w:val="en-BZ"/>
        </w:rPr>
        <w:t>ontent</w:t>
      </w:r>
    </w:p>
    <w:p w:rsidR="00DF5ECB" w:rsidRPr="00921A62" w:rsidRDefault="00DF5ECB" w:rsidP="00921A62">
      <w:pPr>
        <w:spacing w:line="276" w:lineRule="auto"/>
        <w:rPr>
          <w:rFonts w:cs="Arial"/>
          <w:szCs w:val="18"/>
          <w:lang w:val="en-US"/>
        </w:rPr>
      </w:pPr>
    </w:p>
    <w:p w:rsidR="00921A62" w:rsidRPr="00921A62" w:rsidRDefault="00921A62" w:rsidP="00921A62">
      <w:pPr>
        <w:rPr>
          <w:rFonts w:cs="Arial"/>
          <w:b/>
          <w:szCs w:val="18"/>
          <w:lang w:val="en-US"/>
        </w:rPr>
      </w:pPr>
      <w:r>
        <w:rPr>
          <w:rFonts w:cs="Arial"/>
          <w:b/>
          <w:szCs w:val="18"/>
          <w:lang w:val="en-US"/>
        </w:rPr>
        <w:t xml:space="preserve">3.3. Functional properties and dietary fiber enrichment </w:t>
      </w:r>
    </w:p>
    <w:p w:rsidR="00921A62" w:rsidRDefault="00921A62" w:rsidP="00921A62">
      <w:pPr>
        <w:rPr>
          <w:rFonts w:cs="Arial"/>
          <w:szCs w:val="18"/>
          <w:lang w:val="en-US"/>
        </w:rPr>
      </w:pPr>
      <w:r>
        <w:rPr>
          <w:rFonts w:cs="Arial"/>
          <w:szCs w:val="18"/>
          <w:lang w:val="en-US"/>
        </w:rPr>
        <w:t xml:space="preserve">Jerusalem artichoke powder (JAP) improved the functional properties of rye–wheat bread due to its high inulin content, a soluble dietary fiber with prebiotic activity. Dietary fiber content increased with rising JAP levels (0–10%), with the highest value observed at 10% substitution. This effect is associated with inulin’s resistance to digestion in the upper gastrointestinal tract and its ability to enhance gut microbiota. JAP also improved water-binding capacity because of the hydrophilic nature of inulin, resulting in better moisture retention and delayed </w:t>
      </w:r>
      <w:r>
        <w:rPr>
          <w:rFonts w:cs="Arial"/>
          <w:szCs w:val="18"/>
          <w:lang w:val="en-US"/>
        </w:rPr>
        <w:lastRenderedPageBreak/>
        <w:t>staling compared to the control. From a nutritional perspective, inulin promotes beneficial bacteria such as Bifidobacterium spp., supporting gut health. Therefore, the product can be considered a functional food with prebiotic properties (Roberfroid, 2007).</w:t>
      </w:r>
    </w:p>
    <w:p w:rsidR="00DF5ECB" w:rsidRPr="00B57B36" w:rsidRDefault="002B6B3B" w:rsidP="005E5699">
      <w:pPr>
        <w:pStyle w:val="CETTabletitle"/>
        <w:spacing w:line="240" w:lineRule="auto"/>
      </w:pPr>
      <w:r>
        <w:t>Table 2</w:t>
      </w:r>
      <w:r w:rsidR="00DF5ECB">
        <w:t xml:space="preserve">: </w:t>
      </w:r>
      <w:r w:rsidR="00DF5ECB">
        <w:rPr>
          <w:rFonts w:cs="Arial"/>
          <w:i w:val="0"/>
          <w:szCs w:val="18"/>
          <w:lang w:val="en-US"/>
        </w:rPr>
        <w:t>Physicochemical properties of rye–wheat bread enriched with JAP</w:t>
      </w:r>
    </w:p>
    <w:tbl>
      <w:tblPr>
        <w:tblW w:w="0" w:type="auto"/>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217"/>
        <w:gridCol w:w="1061"/>
        <w:gridCol w:w="1211"/>
        <w:gridCol w:w="1310"/>
        <w:gridCol w:w="1160"/>
      </w:tblGrid>
      <w:tr w:rsidR="00DF5ECB" w:rsidRPr="00B57B36" w:rsidTr="00005D54">
        <w:tc>
          <w:tcPr>
            <w:tcW w:w="2217" w:type="dxa"/>
            <w:tcBorders>
              <w:top w:val="single" w:sz="12" w:space="0" w:color="008000"/>
              <w:bottom w:val="single" w:sz="6" w:space="0" w:color="008000"/>
            </w:tcBorders>
            <w:shd w:val="clear" w:color="auto" w:fill="FFFFFF"/>
          </w:tcPr>
          <w:p w:rsidR="00DF5ECB" w:rsidRPr="00B57B36" w:rsidRDefault="00DF5ECB" w:rsidP="005E5699">
            <w:pPr>
              <w:pStyle w:val="CETBodytext"/>
              <w:spacing w:line="240" w:lineRule="auto"/>
              <w:rPr>
                <w:lang w:val="en-GB"/>
              </w:rPr>
            </w:pPr>
            <w:r>
              <w:rPr>
                <w:rFonts w:cs="Arial"/>
                <w:b/>
                <w:szCs w:val="18"/>
              </w:rPr>
              <w:t>Parameter</w:t>
            </w:r>
            <w:r>
              <w:rPr>
                <w:lang w:val="en-GB"/>
              </w:rPr>
              <w:t xml:space="preserve"> </w:t>
            </w:r>
          </w:p>
        </w:tc>
        <w:tc>
          <w:tcPr>
            <w:tcW w:w="1061" w:type="dxa"/>
            <w:tcBorders>
              <w:top w:val="single" w:sz="12" w:space="0" w:color="008000"/>
              <w:bottom w:val="single" w:sz="6" w:space="0" w:color="008000"/>
            </w:tcBorders>
            <w:shd w:val="clear" w:color="auto" w:fill="FFFFFF"/>
          </w:tcPr>
          <w:p w:rsidR="00DF5ECB" w:rsidRPr="00B57B36" w:rsidRDefault="00DF5ECB" w:rsidP="005E5699">
            <w:pPr>
              <w:pStyle w:val="CETBodytext"/>
              <w:spacing w:line="240" w:lineRule="auto"/>
              <w:rPr>
                <w:lang w:val="en-GB"/>
              </w:rPr>
            </w:pPr>
            <w:r>
              <w:rPr>
                <w:rFonts w:cs="Arial"/>
                <w:b/>
                <w:szCs w:val="18"/>
              </w:rPr>
              <w:t>A (0% JAP)</w:t>
            </w:r>
          </w:p>
        </w:tc>
        <w:tc>
          <w:tcPr>
            <w:tcW w:w="1211" w:type="dxa"/>
            <w:tcBorders>
              <w:top w:val="single" w:sz="12" w:space="0" w:color="008000"/>
              <w:bottom w:val="single" w:sz="6" w:space="0" w:color="008000"/>
            </w:tcBorders>
            <w:shd w:val="clear" w:color="auto" w:fill="FFFFFF"/>
          </w:tcPr>
          <w:p w:rsidR="00DF5ECB" w:rsidRPr="00B57B36" w:rsidRDefault="00DF5ECB" w:rsidP="005E5699">
            <w:pPr>
              <w:pStyle w:val="CETBodytext"/>
              <w:spacing w:line="240" w:lineRule="auto"/>
              <w:rPr>
                <w:lang w:val="en-GB"/>
              </w:rPr>
            </w:pPr>
            <w:r>
              <w:rPr>
                <w:rFonts w:cs="Arial"/>
                <w:b/>
                <w:szCs w:val="18"/>
              </w:rPr>
              <w:t xml:space="preserve">B (5% JAP)   </w:t>
            </w:r>
          </w:p>
        </w:tc>
        <w:tc>
          <w:tcPr>
            <w:tcW w:w="1310" w:type="dxa"/>
            <w:tcBorders>
              <w:top w:val="single" w:sz="12" w:space="0" w:color="008000"/>
              <w:bottom w:val="single" w:sz="6" w:space="0" w:color="008000"/>
            </w:tcBorders>
            <w:shd w:val="clear" w:color="auto" w:fill="FFFFFF"/>
          </w:tcPr>
          <w:p w:rsidR="00DF5ECB" w:rsidRPr="00B57B36" w:rsidRDefault="00DF5ECB" w:rsidP="005E5699">
            <w:pPr>
              <w:pStyle w:val="CETBodytext"/>
              <w:spacing w:line="240" w:lineRule="auto"/>
              <w:ind w:right="-1"/>
              <w:rPr>
                <w:rFonts w:cs="Arial"/>
                <w:szCs w:val="18"/>
                <w:lang w:val="en-GB"/>
              </w:rPr>
            </w:pPr>
            <w:r>
              <w:rPr>
                <w:rFonts w:cs="Arial"/>
                <w:b/>
                <w:szCs w:val="18"/>
              </w:rPr>
              <w:t xml:space="preserve">C (7% JAP)     </w:t>
            </w:r>
          </w:p>
        </w:tc>
        <w:tc>
          <w:tcPr>
            <w:tcW w:w="1160" w:type="dxa"/>
            <w:tcBorders>
              <w:top w:val="single" w:sz="12" w:space="0" w:color="008000"/>
              <w:bottom w:val="single" w:sz="6" w:space="0" w:color="008000"/>
            </w:tcBorders>
            <w:shd w:val="clear" w:color="auto" w:fill="FFFFFF"/>
          </w:tcPr>
          <w:p w:rsidR="00DF5ECB" w:rsidRPr="00B57B36" w:rsidRDefault="00DF5ECB" w:rsidP="005E5699">
            <w:pPr>
              <w:pStyle w:val="CETBodytext"/>
              <w:spacing w:line="240" w:lineRule="auto"/>
              <w:ind w:right="-1"/>
              <w:rPr>
                <w:rFonts w:cs="Arial"/>
                <w:szCs w:val="18"/>
                <w:lang w:val="en-GB"/>
              </w:rPr>
            </w:pPr>
            <w:r>
              <w:rPr>
                <w:rFonts w:cs="Arial"/>
                <w:b/>
                <w:szCs w:val="18"/>
              </w:rPr>
              <w:t>D (10% JAP)</w:t>
            </w:r>
          </w:p>
        </w:tc>
      </w:tr>
      <w:tr w:rsidR="00DF5ECB" w:rsidRPr="00B57B36" w:rsidTr="00005D54">
        <w:tc>
          <w:tcPr>
            <w:tcW w:w="2217" w:type="dxa"/>
            <w:shd w:val="clear" w:color="auto" w:fill="FFFFFF"/>
          </w:tcPr>
          <w:p w:rsidR="00DF5ECB" w:rsidRPr="00EF7D19" w:rsidRDefault="00DF5ECB" w:rsidP="005E5699">
            <w:pPr>
              <w:pStyle w:val="CETBodytext"/>
              <w:spacing w:line="240" w:lineRule="auto"/>
              <w:rPr>
                <w:rFonts w:cs="Arial"/>
                <w:szCs w:val="18"/>
              </w:rPr>
            </w:pPr>
            <w:r>
              <w:rPr>
                <w:rFonts w:cs="Arial"/>
                <w:szCs w:val="18"/>
              </w:rPr>
              <w:t>Specific volume (cm³/g)</w:t>
            </w:r>
          </w:p>
        </w:tc>
        <w:tc>
          <w:tcPr>
            <w:tcW w:w="1061" w:type="dxa"/>
            <w:shd w:val="clear" w:color="auto" w:fill="FFFFFF"/>
          </w:tcPr>
          <w:p w:rsidR="00DF5ECB" w:rsidRPr="00B57B36" w:rsidRDefault="00DF5ECB" w:rsidP="005E5699">
            <w:pPr>
              <w:pStyle w:val="CETBodytext"/>
              <w:spacing w:line="240" w:lineRule="auto"/>
              <w:rPr>
                <w:lang w:val="en-GB"/>
              </w:rPr>
            </w:pPr>
            <w:r>
              <w:rPr>
                <w:rFonts w:cs="Arial"/>
                <w:szCs w:val="18"/>
              </w:rPr>
              <w:t>3.30</w:t>
            </w:r>
          </w:p>
        </w:tc>
        <w:tc>
          <w:tcPr>
            <w:tcW w:w="1211" w:type="dxa"/>
            <w:shd w:val="clear" w:color="auto" w:fill="FFFFFF"/>
          </w:tcPr>
          <w:p w:rsidR="00DF5ECB" w:rsidRPr="00B57B36" w:rsidRDefault="00DF5ECB" w:rsidP="005E5699">
            <w:pPr>
              <w:pStyle w:val="CETBodytext"/>
              <w:spacing w:line="240" w:lineRule="auto"/>
              <w:rPr>
                <w:lang w:val="en-GB"/>
              </w:rPr>
            </w:pPr>
            <w:r>
              <w:rPr>
                <w:rFonts w:cs="Arial"/>
                <w:szCs w:val="18"/>
              </w:rPr>
              <w:t>3.10</w:t>
            </w:r>
          </w:p>
        </w:tc>
        <w:tc>
          <w:tcPr>
            <w:tcW w:w="1310" w:type="dxa"/>
            <w:shd w:val="clear" w:color="auto" w:fill="FFFFFF"/>
          </w:tcPr>
          <w:p w:rsidR="00DF5ECB" w:rsidRPr="000044B0" w:rsidRDefault="00DF5ECB" w:rsidP="005E5699">
            <w:pPr>
              <w:pStyle w:val="CETBodytext"/>
              <w:spacing w:line="240" w:lineRule="auto"/>
              <w:ind w:right="-1"/>
              <w:rPr>
                <w:rFonts w:cs="Arial"/>
                <w:szCs w:val="18"/>
                <w:lang w:val="en-GB"/>
              </w:rPr>
            </w:pPr>
            <w:r>
              <w:rPr>
                <w:rFonts w:cs="Arial"/>
                <w:szCs w:val="18"/>
              </w:rPr>
              <w:t>3.02</w:t>
            </w:r>
          </w:p>
        </w:tc>
        <w:tc>
          <w:tcPr>
            <w:tcW w:w="1160" w:type="dxa"/>
            <w:shd w:val="clear" w:color="auto" w:fill="FFFFFF"/>
          </w:tcPr>
          <w:p w:rsidR="00DF5ECB" w:rsidRPr="00B57B36" w:rsidRDefault="00DF5ECB" w:rsidP="005E5699">
            <w:pPr>
              <w:pStyle w:val="CETBodytext"/>
              <w:spacing w:line="240" w:lineRule="auto"/>
              <w:ind w:right="-1"/>
              <w:rPr>
                <w:rFonts w:cs="Arial"/>
                <w:szCs w:val="18"/>
                <w:lang w:val="en-GB"/>
              </w:rPr>
            </w:pPr>
            <w:r>
              <w:rPr>
                <w:rFonts w:cs="Arial"/>
                <w:szCs w:val="18"/>
              </w:rPr>
              <w:t>2.87</w:t>
            </w:r>
          </w:p>
        </w:tc>
      </w:tr>
      <w:tr w:rsidR="00DF5ECB" w:rsidRPr="00B57B36" w:rsidTr="00005D54">
        <w:tc>
          <w:tcPr>
            <w:tcW w:w="2217" w:type="dxa"/>
            <w:shd w:val="clear" w:color="auto" w:fill="FFFFFF"/>
          </w:tcPr>
          <w:p w:rsidR="00DF5ECB" w:rsidRPr="00B57B36" w:rsidRDefault="00DF5ECB" w:rsidP="005E5699">
            <w:pPr>
              <w:pStyle w:val="CETBodytext"/>
              <w:spacing w:line="240" w:lineRule="auto"/>
              <w:ind w:right="-1"/>
              <w:rPr>
                <w:rFonts w:cs="Arial"/>
                <w:szCs w:val="18"/>
                <w:lang w:val="en-GB"/>
              </w:rPr>
            </w:pPr>
          </w:p>
        </w:tc>
        <w:tc>
          <w:tcPr>
            <w:tcW w:w="1061" w:type="dxa"/>
            <w:shd w:val="clear" w:color="auto" w:fill="FFFFFF"/>
          </w:tcPr>
          <w:p w:rsidR="00DF5ECB" w:rsidRPr="00B57B36" w:rsidRDefault="00DF5ECB" w:rsidP="005E5699">
            <w:pPr>
              <w:pStyle w:val="CETBodytext"/>
              <w:spacing w:line="240" w:lineRule="auto"/>
              <w:ind w:right="-1"/>
              <w:rPr>
                <w:rFonts w:cs="Arial"/>
                <w:szCs w:val="18"/>
                <w:lang w:val="en-GB"/>
              </w:rPr>
            </w:pPr>
          </w:p>
        </w:tc>
        <w:tc>
          <w:tcPr>
            <w:tcW w:w="1211" w:type="dxa"/>
            <w:shd w:val="clear" w:color="auto" w:fill="FFFFFF"/>
          </w:tcPr>
          <w:p w:rsidR="00DF5ECB" w:rsidRPr="00B57B36" w:rsidRDefault="00DF5ECB" w:rsidP="005E5699">
            <w:pPr>
              <w:pStyle w:val="CETBodytext"/>
              <w:spacing w:line="240" w:lineRule="auto"/>
              <w:ind w:right="-1"/>
              <w:rPr>
                <w:rFonts w:cs="Arial"/>
                <w:szCs w:val="18"/>
                <w:lang w:val="en-GB"/>
              </w:rPr>
            </w:pPr>
          </w:p>
        </w:tc>
        <w:tc>
          <w:tcPr>
            <w:tcW w:w="1310" w:type="dxa"/>
            <w:shd w:val="clear" w:color="auto" w:fill="FFFFFF"/>
          </w:tcPr>
          <w:p w:rsidR="00DF5ECB" w:rsidRPr="000044B0" w:rsidRDefault="00DF5ECB" w:rsidP="005E5699">
            <w:pPr>
              <w:pStyle w:val="CETBodytext"/>
              <w:spacing w:line="240" w:lineRule="auto"/>
              <w:ind w:right="-1"/>
              <w:rPr>
                <w:rFonts w:cs="Arial"/>
                <w:szCs w:val="18"/>
                <w:lang w:val="en-GB"/>
              </w:rPr>
            </w:pPr>
          </w:p>
        </w:tc>
        <w:tc>
          <w:tcPr>
            <w:tcW w:w="1160" w:type="dxa"/>
            <w:shd w:val="clear" w:color="auto" w:fill="FFFFFF"/>
          </w:tcPr>
          <w:p w:rsidR="00DF5ECB" w:rsidRPr="00B57B36" w:rsidRDefault="00DF5ECB" w:rsidP="005E5699">
            <w:pPr>
              <w:pStyle w:val="CETBodytext"/>
              <w:spacing w:line="240" w:lineRule="auto"/>
              <w:ind w:right="-1"/>
              <w:rPr>
                <w:rFonts w:cs="Arial"/>
                <w:szCs w:val="18"/>
                <w:lang w:val="en-GB"/>
              </w:rPr>
            </w:pPr>
          </w:p>
        </w:tc>
      </w:tr>
      <w:tr w:rsidR="00DF5ECB" w:rsidRPr="00B57B36" w:rsidTr="00005D54">
        <w:tc>
          <w:tcPr>
            <w:tcW w:w="2217" w:type="dxa"/>
            <w:shd w:val="clear" w:color="auto" w:fill="FFFFFF"/>
          </w:tcPr>
          <w:p w:rsidR="00DF5ECB" w:rsidRPr="00B57B36" w:rsidRDefault="00DF5ECB" w:rsidP="005E5699">
            <w:pPr>
              <w:pStyle w:val="CETBodytext"/>
              <w:spacing w:line="240" w:lineRule="auto"/>
              <w:ind w:right="-1"/>
              <w:rPr>
                <w:rFonts w:cs="Arial"/>
                <w:szCs w:val="18"/>
                <w:lang w:val="en-GB"/>
              </w:rPr>
            </w:pPr>
            <w:r>
              <w:rPr>
                <w:rFonts w:cs="Arial"/>
                <w:szCs w:val="18"/>
              </w:rPr>
              <w:t>Moisture content (%)</w:t>
            </w:r>
          </w:p>
        </w:tc>
        <w:tc>
          <w:tcPr>
            <w:tcW w:w="1061" w:type="dxa"/>
            <w:shd w:val="clear" w:color="auto" w:fill="FFFFFF"/>
          </w:tcPr>
          <w:p w:rsidR="00DF5ECB" w:rsidRPr="00B57B36" w:rsidRDefault="00DF5ECB" w:rsidP="005E5699">
            <w:pPr>
              <w:pStyle w:val="CETBodytext"/>
              <w:spacing w:line="240" w:lineRule="auto"/>
              <w:ind w:right="-1"/>
              <w:rPr>
                <w:rFonts w:cs="Arial"/>
                <w:szCs w:val="18"/>
                <w:lang w:val="en-GB"/>
              </w:rPr>
            </w:pPr>
            <w:r>
              <w:rPr>
                <w:rFonts w:cs="Arial"/>
                <w:szCs w:val="18"/>
              </w:rPr>
              <w:t>44.70</w:t>
            </w:r>
          </w:p>
        </w:tc>
        <w:tc>
          <w:tcPr>
            <w:tcW w:w="1211" w:type="dxa"/>
            <w:shd w:val="clear" w:color="auto" w:fill="FFFFFF"/>
          </w:tcPr>
          <w:p w:rsidR="00DF5ECB" w:rsidRPr="00B57B36" w:rsidRDefault="00DF5ECB" w:rsidP="005E5699">
            <w:pPr>
              <w:pStyle w:val="CETBodytext"/>
              <w:spacing w:line="240" w:lineRule="auto"/>
              <w:ind w:right="-1"/>
              <w:rPr>
                <w:rFonts w:cs="Arial"/>
                <w:szCs w:val="18"/>
                <w:lang w:val="en-GB"/>
              </w:rPr>
            </w:pPr>
            <w:r>
              <w:rPr>
                <w:rFonts w:cs="Arial"/>
                <w:szCs w:val="18"/>
              </w:rPr>
              <w:t>45.83</w:t>
            </w:r>
          </w:p>
        </w:tc>
        <w:tc>
          <w:tcPr>
            <w:tcW w:w="1310" w:type="dxa"/>
            <w:shd w:val="clear" w:color="auto" w:fill="FFFFFF"/>
          </w:tcPr>
          <w:p w:rsidR="00DF5ECB" w:rsidRPr="000044B0" w:rsidRDefault="00DF5ECB" w:rsidP="005E5699">
            <w:pPr>
              <w:pStyle w:val="CETBodytext"/>
              <w:spacing w:line="240" w:lineRule="auto"/>
              <w:ind w:right="-1"/>
              <w:rPr>
                <w:rFonts w:cs="Arial"/>
                <w:szCs w:val="18"/>
                <w:lang w:val="en-GB"/>
              </w:rPr>
            </w:pPr>
            <w:r>
              <w:rPr>
                <w:rFonts w:cs="Arial"/>
                <w:szCs w:val="18"/>
              </w:rPr>
              <w:t>47.01</w:t>
            </w:r>
          </w:p>
        </w:tc>
        <w:tc>
          <w:tcPr>
            <w:tcW w:w="1160" w:type="dxa"/>
            <w:shd w:val="clear" w:color="auto" w:fill="FFFFFF"/>
          </w:tcPr>
          <w:p w:rsidR="00DF5ECB" w:rsidRPr="00B57B36" w:rsidRDefault="00DF5ECB" w:rsidP="005E5699">
            <w:pPr>
              <w:pStyle w:val="CETBodytext"/>
              <w:spacing w:line="240" w:lineRule="auto"/>
              <w:ind w:right="-1"/>
              <w:rPr>
                <w:rFonts w:cs="Arial"/>
                <w:szCs w:val="18"/>
                <w:lang w:val="en-GB"/>
              </w:rPr>
            </w:pPr>
            <w:r>
              <w:rPr>
                <w:rFonts w:cs="Arial"/>
                <w:szCs w:val="18"/>
              </w:rPr>
              <w:t>48.66</w:t>
            </w:r>
          </w:p>
        </w:tc>
      </w:tr>
      <w:tr w:rsidR="00DF5ECB" w:rsidRPr="00B57B36" w:rsidTr="00005D54">
        <w:tc>
          <w:tcPr>
            <w:tcW w:w="2217" w:type="dxa"/>
            <w:shd w:val="clear" w:color="auto" w:fill="FFFFFF"/>
          </w:tcPr>
          <w:p w:rsidR="00DF5ECB" w:rsidRDefault="00DF5ECB" w:rsidP="005E5699">
            <w:pPr>
              <w:pStyle w:val="CETBodytext"/>
              <w:spacing w:line="240" w:lineRule="auto"/>
              <w:ind w:right="-1"/>
              <w:rPr>
                <w:rFonts w:cs="Arial"/>
                <w:szCs w:val="18"/>
                <w:lang w:val="en-GB"/>
              </w:rPr>
            </w:pPr>
          </w:p>
          <w:p w:rsidR="00DF5ECB" w:rsidRDefault="00DF5ECB" w:rsidP="005E5699">
            <w:pPr>
              <w:pStyle w:val="CETBodytext"/>
              <w:spacing w:line="240" w:lineRule="auto"/>
              <w:ind w:right="-1"/>
              <w:rPr>
                <w:rFonts w:cs="Arial"/>
                <w:szCs w:val="18"/>
                <w:lang w:val="en-GB"/>
              </w:rPr>
            </w:pPr>
            <w:r>
              <w:rPr>
                <w:rFonts w:cs="Arial"/>
                <w:szCs w:val="18"/>
              </w:rPr>
              <w:t>Dietary fiber (%</w:t>
            </w:r>
            <w:proofErr w:type="spellStart"/>
            <w:r>
              <w:rPr>
                <w:rFonts w:cs="Arial"/>
                <w:szCs w:val="18"/>
              </w:rPr>
              <w:t>d.m</w:t>
            </w:r>
            <w:proofErr w:type="spellEnd"/>
            <w:r>
              <w:rPr>
                <w:rFonts w:cs="Arial"/>
                <w:szCs w:val="18"/>
              </w:rPr>
              <w:t>., calc.)</w:t>
            </w:r>
          </w:p>
          <w:p w:rsidR="00DF5ECB" w:rsidRDefault="00DF5ECB" w:rsidP="005E5699">
            <w:pPr>
              <w:pStyle w:val="CETBodytext"/>
              <w:spacing w:line="240" w:lineRule="auto"/>
              <w:rPr>
                <w:rFonts w:cs="Arial"/>
                <w:szCs w:val="18"/>
                <w:lang w:val="en-GB"/>
              </w:rPr>
            </w:pPr>
          </w:p>
          <w:p w:rsidR="00DF5ECB" w:rsidRPr="000044B0" w:rsidRDefault="00DF5ECB" w:rsidP="005E5699">
            <w:pPr>
              <w:pStyle w:val="CETBodytext"/>
              <w:spacing w:line="240" w:lineRule="auto"/>
              <w:rPr>
                <w:rFonts w:cs="Arial"/>
                <w:szCs w:val="18"/>
                <w:lang w:val="en-GB"/>
              </w:rPr>
            </w:pPr>
            <w:r>
              <w:rPr>
                <w:rFonts w:cs="Arial"/>
                <w:szCs w:val="18"/>
                <w:lang w:val="en-GB"/>
              </w:rPr>
              <w:t>Overall sensory score(5-pt)</w:t>
            </w:r>
          </w:p>
          <w:p w:rsidR="00DF5ECB" w:rsidRPr="000044B0" w:rsidRDefault="00DF5ECB" w:rsidP="005E5699">
            <w:pPr>
              <w:pStyle w:val="CETBodytext"/>
              <w:spacing w:line="240" w:lineRule="auto"/>
              <w:rPr>
                <w:rFonts w:cs="Arial"/>
                <w:szCs w:val="18"/>
                <w:lang w:val="en-GB"/>
              </w:rPr>
            </w:pPr>
          </w:p>
        </w:tc>
        <w:tc>
          <w:tcPr>
            <w:tcW w:w="1061" w:type="dxa"/>
            <w:shd w:val="clear" w:color="auto" w:fill="FFFFFF"/>
          </w:tcPr>
          <w:p w:rsidR="00DF5ECB" w:rsidRDefault="00DF5ECB" w:rsidP="005E5699">
            <w:pPr>
              <w:pStyle w:val="CETBodytext"/>
              <w:spacing w:line="240" w:lineRule="auto"/>
              <w:jc w:val="center"/>
              <w:rPr>
                <w:rFonts w:cs="Arial"/>
                <w:szCs w:val="18"/>
              </w:rPr>
            </w:pPr>
          </w:p>
          <w:p w:rsidR="00DF5ECB" w:rsidRDefault="00DF5ECB" w:rsidP="005E5699">
            <w:pPr>
              <w:pStyle w:val="CETBodytext"/>
              <w:spacing w:line="240" w:lineRule="auto"/>
              <w:jc w:val="center"/>
              <w:rPr>
                <w:rFonts w:cs="Arial"/>
                <w:szCs w:val="18"/>
                <w:lang w:val="en-GB"/>
              </w:rPr>
            </w:pPr>
            <w:r>
              <w:rPr>
                <w:rFonts w:cs="Arial"/>
                <w:szCs w:val="18"/>
              </w:rPr>
              <w:t>2.50</w:t>
            </w:r>
          </w:p>
          <w:p w:rsidR="00DF5ECB" w:rsidRDefault="00DF5ECB" w:rsidP="005E5699">
            <w:pPr>
              <w:pStyle w:val="CETBodytext"/>
              <w:spacing w:line="240" w:lineRule="auto"/>
              <w:rPr>
                <w:rFonts w:cs="Arial"/>
                <w:szCs w:val="18"/>
                <w:lang w:val="en-GB"/>
              </w:rPr>
            </w:pPr>
          </w:p>
          <w:p w:rsidR="00DF5ECB" w:rsidRPr="000044B0" w:rsidRDefault="00DF5ECB" w:rsidP="005E5699">
            <w:pPr>
              <w:pStyle w:val="CETBodytext"/>
              <w:tabs>
                <w:tab w:val="clear" w:pos="7100"/>
                <w:tab w:val="left" w:pos="472"/>
              </w:tabs>
              <w:spacing w:line="240" w:lineRule="auto"/>
              <w:rPr>
                <w:rFonts w:cs="Arial"/>
                <w:szCs w:val="18"/>
                <w:lang w:val="en-GB"/>
              </w:rPr>
            </w:pPr>
            <w:r>
              <w:rPr>
                <w:rFonts w:cs="Arial"/>
                <w:szCs w:val="18"/>
                <w:lang w:val="en-GB"/>
              </w:rPr>
              <w:tab/>
              <w:t xml:space="preserve">4.80     </w:t>
            </w:r>
          </w:p>
        </w:tc>
        <w:tc>
          <w:tcPr>
            <w:tcW w:w="1211" w:type="dxa"/>
            <w:shd w:val="clear" w:color="auto" w:fill="FFFFFF"/>
          </w:tcPr>
          <w:p w:rsidR="00DF5ECB" w:rsidRDefault="00DF5ECB" w:rsidP="005E5699">
            <w:pPr>
              <w:pStyle w:val="CETBodytext"/>
              <w:tabs>
                <w:tab w:val="clear" w:pos="7100"/>
                <w:tab w:val="left" w:pos="1080"/>
              </w:tabs>
              <w:spacing w:line="240" w:lineRule="auto"/>
              <w:ind w:right="-1"/>
              <w:rPr>
                <w:rFonts w:cs="Arial"/>
                <w:szCs w:val="18"/>
              </w:rPr>
            </w:pPr>
            <w:r>
              <w:rPr>
                <w:rFonts w:cs="Arial"/>
                <w:szCs w:val="18"/>
              </w:rPr>
              <w:tab/>
            </w:r>
          </w:p>
          <w:p w:rsidR="00DF5ECB" w:rsidRDefault="00DF5ECB" w:rsidP="005E5699">
            <w:pPr>
              <w:pStyle w:val="CETBodytext"/>
              <w:spacing w:line="240" w:lineRule="auto"/>
              <w:ind w:right="-1"/>
              <w:rPr>
                <w:rFonts w:cs="Arial"/>
                <w:szCs w:val="18"/>
                <w:lang w:val="en-GB"/>
              </w:rPr>
            </w:pPr>
            <w:r>
              <w:rPr>
                <w:rFonts w:cs="Arial"/>
                <w:szCs w:val="18"/>
              </w:rPr>
              <w:t>5.85</w:t>
            </w:r>
          </w:p>
          <w:p w:rsidR="00DF5ECB" w:rsidRDefault="00DF5ECB" w:rsidP="005E5699">
            <w:pPr>
              <w:pStyle w:val="CETBodytext"/>
              <w:spacing w:line="240" w:lineRule="auto"/>
              <w:rPr>
                <w:rFonts w:cs="Arial"/>
                <w:szCs w:val="18"/>
                <w:lang w:val="en-GB"/>
              </w:rPr>
            </w:pPr>
          </w:p>
          <w:p w:rsidR="00DF5ECB" w:rsidRPr="000044B0" w:rsidRDefault="00DF5ECB" w:rsidP="005E5699">
            <w:pPr>
              <w:pStyle w:val="CETBodytext"/>
              <w:spacing w:line="240" w:lineRule="auto"/>
              <w:rPr>
                <w:rFonts w:cs="Arial"/>
                <w:szCs w:val="18"/>
                <w:lang w:val="en-GB"/>
              </w:rPr>
            </w:pPr>
            <w:r>
              <w:rPr>
                <w:rFonts w:cs="Arial"/>
                <w:szCs w:val="18"/>
                <w:lang w:val="en-GB"/>
              </w:rPr>
              <w:t xml:space="preserve">4.70          </w:t>
            </w:r>
          </w:p>
        </w:tc>
        <w:tc>
          <w:tcPr>
            <w:tcW w:w="1310" w:type="dxa"/>
            <w:shd w:val="clear" w:color="auto" w:fill="FFFFFF"/>
          </w:tcPr>
          <w:p w:rsidR="00DF5ECB" w:rsidRPr="000044B0" w:rsidRDefault="00DF5ECB" w:rsidP="005E5699">
            <w:pPr>
              <w:pStyle w:val="CETBodytext"/>
              <w:spacing w:line="240" w:lineRule="auto"/>
              <w:rPr>
                <w:rFonts w:cs="Arial"/>
                <w:szCs w:val="18"/>
              </w:rPr>
            </w:pPr>
          </w:p>
          <w:p w:rsidR="00DF5ECB" w:rsidRPr="000044B0" w:rsidRDefault="00DF5ECB" w:rsidP="005E5699">
            <w:pPr>
              <w:pStyle w:val="CETBodytext"/>
              <w:spacing w:line="240" w:lineRule="auto"/>
              <w:rPr>
                <w:rFonts w:cs="Arial"/>
                <w:szCs w:val="18"/>
              </w:rPr>
            </w:pPr>
            <w:r>
              <w:rPr>
                <w:rFonts w:cs="Arial"/>
                <w:szCs w:val="18"/>
              </w:rPr>
              <w:t>7.19</w:t>
            </w:r>
          </w:p>
          <w:p w:rsidR="00DF5ECB" w:rsidRPr="000044B0" w:rsidRDefault="00DF5ECB" w:rsidP="005E5699">
            <w:pPr>
              <w:pStyle w:val="CETBodytext"/>
              <w:spacing w:line="240" w:lineRule="auto"/>
              <w:rPr>
                <w:rFonts w:cs="Arial"/>
                <w:szCs w:val="18"/>
              </w:rPr>
            </w:pPr>
          </w:p>
          <w:p w:rsidR="00DF5ECB" w:rsidRPr="000044B0" w:rsidRDefault="00DF5ECB" w:rsidP="005E5699">
            <w:pPr>
              <w:pStyle w:val="CETBodytext"/>
              <w:spacing w:line="240" w:lineRule="auto"/>
              <w:rPr>
                <w:rFonts w:cs="Arial"/>
                <w:szCs w:val="18"/>
                <w:lang w:val="en-GB"/>
              </w:rPr>
            </w:pPr>
            <w:r>
              <w:rPr>
                <w:rFonts w:cs="Arial"/>
                <w:szCs w:val="18"/>
              </w:rPr>
              <w:t>4.76</w:t>
            </w:r>
          </w:p>
        </w:tc>
        <w:tc>
          <w:tcPr>
            <w:tcW w:w="1160" w:type="dxa"/>
            <w:shd w:val="clear" w:color="auto" w:fill="FFFFFF"/>
          </w:tcPr>
          <w:p w:rsidR="00DF5ECB" w:rsidRDefault="00DF5ECB" w:rsidP="005E5699">
            <w:pPr>
              <w:pStyle w:val="CETBodytext"/>
              <w:spacing w:line="240" w:lineRule="auto"/>
              <w:ind w:right="-1"/>
              <w:rPr>
                <w:rFonts w:cs="Arial"/>
                <w:szCs w:val="18"/>
              </w:rPr>
            </w:pPr>
          </w:p>
          <w:p w:rsidR="00DF5ECB" w:rsidRDefault="00DF5ECB" w:rsidP="005E5699">
            <w:pPr>
              <w:pStyle w:val="CETBodytext"/>
              <w:tabs>
                <w:tab w:val="clear" w:pos="7100"/>
                <w:tab w:val="left" w:pos="945"/>
              </w:tabs>
              <w:spacing w:line="240" w:lineRule="auto"/>
              <w:ind w:right="-1"/>
              <w:rPr>
                <w:rFonts w:cs="Arial"/>
                <w:szCs w:val="18"/>
              </w:rPr>
            </w:pPr>
            <w:r>
              <w:rPr>
                <w:rFonts w:cs="Arial"/>
                <w:szCs w:val="18"/>
              </w:rPr>
              <w:t>9.20</w:t>
            </w:r>
            <w:r>
              <w:rPr>
                <w:rFonts w:cs="Arial"/>
                <w:szCs w:val="18"/>
              </w:rPr>
              <w:tab/>
            </w:r>
          </w:p>
          <w:p w:rsidR="00DF5ECB" w:rsidRDefault="00DF5ECB" w:rsidP="005E5699">
            <w:pPr>
              <w:pStyle w:val="CETBodytext"/>
              <w:tabs>
                <w:tab w:val="clear" w:pos="7100"/>
                <w:tab w:val="left" w:pos="945"/>
              </w:tabs>
              <w:spacing w:line="240" w:lineRule="auto"/>
              <w:ind w:right="-1"/>
              <w:rPr>
                <w:rFonts w:cs="Arial"/>
                <w:szCs w:val="18"/>
              </w:rPr>
            </w:pPr>
          </w:p>
          <w:p w:rsidR="00DF5ECB" w:rsidRDefault="00DF5ECB" w:rsidP="005E5699">
            <w:pPr>
              <w:pStyle w:val="CETBodytext"/>
              <w:tabs>
                <w:tab w:val="clear" w:pos="7100"/>
                <w:tab w:val="left" w:pos="945"/>
              </w:tabs>
              <w:spacing w:line="240" w:lineRule="auto"/>
              <w:ind w:right="-1"/>
              <w:rPr>
                <w:rFonts w:cs="Arial"/>
                <w:szCs w:val="18"/>
              </w:rPr>
            </w:pPr>
            <w:r>
              <w:rPr>
                <w:rFonts w:cs="Arial"/>
                <w:szCs w:val="18"/>
              </w:rPr>
              <w:t>4.48</w:t>
            </w:r>
          </w:p>
          <w:p w:rsidR="00DF5ECB" w:rsidRDefault="00DF5ECB" w:rsidP="005E5699">
            <w:pPr>
              <w:pStyle w:val="CETBodytext"/>
              <w:tabs>
                <w:tab w:val="clear" w:pos="7100"/>
                <w:tab w:val="left" w:pos="945"/>
              </w:tabs>
              <w:spacing w:line="240" w:lineRule="auto"/>
              <w:ind w:right="-1"/>
              <w:rPr>
                <w:rFonts w:cs="Arial"/>
                <w:szCs w:val="18"/>
              </w:rPr>
            </w:pPr>
          </w:p>
          <w:p w:rsidR="00DF5ECB" w:rsidRPr="00B57B36" w:rsidRDefault="00DF5ECB" w:rsidP="005E5699">
            <w:pPr>
              <w:pStyle w:val="CETBodytext"/>
              <w:tabs>
                <w:tab w:val="clear" w:pos="7100"/>
                <w:tab w:val="left" w:pos="945"/>
              </w:tabs>
              <w:spacing w:line="240" w:lineRule="auto"/>
              <w:ind w:right="-1"/>
              <w:rPr>
                <w:rFonts w:cs="Arial"/>
                <w:szCs w:val="18"/>
                <w:lang w:val="en-GB"/>
              </w:rPr>
            </w:pPr>
          </w:p>
        </w:tc>
      </w:tr>
    </w:tbl>
    <w:p w:rsidR="00DF5ECB" w:rsidRPr="00985E57" w:rsidRDefault="00DF5ECB" w:rsidP="005E5699">
      <w:pPr>
        <w:spacing w:line="240" w:lineRule="auto"/>
        <w:rPr>
          <w:rFonts w:cs="Arial"/>
          <w:szCs w:val="18"/>
          <w:lang w:val="en-US"/>
        </w:rPr>
      </w:pPr>
      <w:r>
        <w:rPr>
          <w:rFonts w:cs="Arial"/>
          <w:szCs w:val="18"/>
          <w:lang w:val="en-US"/>
        </w:rPr>
        <w:t xml:space="preserve">* d.m. = dry matter basis. Dietary fiber calculated from Mensink et al. </w:t>
      </w:r>
      <w:r>
        <w:rPr>
          <w:rFonts w:cs="Arial"/>
          <w:szCs w:val="18"/>
        </w:rPr>
        <w:t xml:space="preserve">(2015). </w:t>
      </w:r>
    </w:p>
    <w:p w:rsidR="00DF5ECB" w:rsidRPr="00921A62" w:rsidRDefault="00DF5ECB" w:rsidP="005E5699">
      <w:pPr>
        <w:spacing w:line="240" w:lineRule="auto"/>
        <w:rPr>
          <w:rFonts w:cs="Arial"/>
          <w:szCs w:val="18"/>
          <w:lang w:val="en-US"/>
        </w:rPr>
      </w:pPr>
    </w:p>
    <w:p w:rsidR="00921A62" w:rsidRPr="00921A62" w:rsidRDefault="00921A62" w:rsidP="00921A62">
      <w:pPr>
        <w:spacing w:line="276" w:lineRule="auto"/>
        <w:rPr>
          <w:rFonts w:cs="Arial"/>
          <w:szCs w:val="18"/>
          <w:lang w:val="en-US"/>
        </w:rPr>
      </w:pPr>
      <w:r>
        <w:rPr>
          <w:rFonts w:cs="Arial"/>
          <w:szCs w:val="18"/>
          <w:lang w:val="en-US"/>
        </w:rPr>
        <w:t>Sponge fermentation further enhanced dough structure and ensured better distribution of fiber components, contributing to improved technological and nutritional quality. Overall, JAP effectively increased dietary fiber content and improved functional properties of rye–wheat bread without significantly compromising product quality.</w:t>
      </w:r>
    </w:p>
    <w:p w:rsidR="00921A62" w:rsidRPr="00921A62" w:rsidRDefault="00921A62" w:rsidP="00921A62">
      <w:pPr>
        <w:pStyle w:val="afffd"/>
        <w:spacing w:line="276" w:lineRule="auto"/>
        <w:ind w:left="0"/>
        <w:rPr>
          <w:rFonts w:cs="Arial"/>
          <w:szCs w:val="18"/>
          <w:lang w:val="en-US"/>
        </w:rPr>
      </w:pPr>
      <w:r>
        <w:rPr>
          <w:noProof/>
          <w:lang w:val="ru-RU" w:eastAsia="ru-RU"/>
        </w:rPr>
        <w:drawing>
          <wp:inline distT="0" distB="0" distL="0" distR="0" wp14:anchorId="01C760DD" wp14:editId="58DBB0C9">
            <wp:extent cx="3664915" cy="2055572"/>
            <wp:effectExtent l="0" t="0" r="12065" b="2095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21A62" w:rsidRDefault="00921A62" w:rsidP="00921A62">
      <w:pPr>
        <w:pStyle w:val="afffd"/>
        <w:spacing w:line="276" w:lineRule="auto"/>
        <w:ind w:left="0"/>
        <w:rPr>
          <w:rFonts w:eastAsiaTheme="minorEastAsia" w:cs="Arial"/>
          <w:bCs/>
          <w:szCs w:val="18"/>
          <w:lang w:val="en-BZ"/>
        </w:rPr>
      </w:pPr>
      <w:r>
        <w:rPr>
          <w:rFonts w:eastAsiaTheme="minorEastAsia" w:cs="Arial"/>
          <w:bCs/>
          <w:szCs w:val="18"/>
          <w:lang w:val="en-BZ"/>
        </w:rPr>
        <w:t>Figure 3. Estima</w:t>
      </w:r>
      <w:r>
        <w:rPr>
          <w:rFonts w:cs="Arial"/>
          <w:bCs/>
          <w:szCs w:val="18"/>
          <w:lang w:val="en-BZ"/>
        </w:rPr>
        <w:t>ted dietary fiber content by Jerusalem artichoke powder l</w:t>
      </w:r>
      <w:r>
        <w:rPr>
          <w:rFonts w:eastAsiaTheme="minorEastAsia" w:cs="Arial"/>
          <w:bCs/>
          <w:szCs w:val="18"/>
          <w:lang w:val="en-BZ"/>
        </w:rPr>
        <w:t>evel</w:t>
      </w:r>
    </w:p>
    <w:p w:rsidR="00DF5ECB" w:rsidRPr="00921A62" w:rsidRDefault="00DF5ECB" w:rsidP="00921A62">
      <w:pPr>
        <w:pStyle w:val="afffd"/>
        <w:spacing w:line="276" w:lineRule="auto"/>
        <w:ind w:left="0"/>
        <w:rPr>
          <w:rFonts w:cs="Arial"/>
          <w:szCs w:val="18"/>
          <w:lang w:val="en-BZ"/>
        </w:rPr>
      </w:pPr>
    </w:p>
    <w:p w:rsidR="00921A62" w:rsidRPr="00921A62" w:rsidRDefault="00921A62" w:rsidP="00921A62">
      <w:pPr>
        <w:pStyle w:val="afffd"/>
        <w:spacing w:line="276" w:lineRule="auto"/>
        <w:ind w:left="0"/>
        <w:rPr>
          <w:rFonts w:cs="Arial"/>
          <w:b/>
          <w:szCs w:val="18"/>
          <w:lang w:val="en-US"/>
        </w:rPr>
      </w:pPr>
      <w:r>
        <w:rPr>
          <w:rFonts w:cs="Arial"/>
          <w:b/>
          <w:szCs w:val="18"/>
          <w:lang w:val="en-US"/>
        </w:rPr>
        <w:t>3.4. Overall effect of sponge fermentation</w:t>
      </w:r>
    </w:p>
    <w:p w:rsidR="00921A62" w:rsidRPr="00921A62" w:rsidRDefault="00921A62" w:rsidP="00921A62">
      <w:pPr>
        <w:pStyle w:val="CETBodytext"/>
        <w:spacing w:line="276" w:lineRule="auto"/>
        <w:rPr>
          <w:rFonts w:cs="Arial"/>
          <w:szCs w:val="18"/>
        </w:rPr>
      </w:pPr>
      <w:r>
        <w:rPr>
          <w:rFonts w:cs="Arial"/>
          <w:szCs w:val="18"/>
        </w:rPr>
        <w:t>Sponge fermentation is expected to contribute positively to dough development and bread quality, particularly in high-fiber formulations, based on established literature evidence (Corsetti &amp; Settanni, 2007; Katina et al., 2005). The pre-fermentation stage likely enhanced yeast metabolism and promoted partial enzymatic hydrolysis of flour components, which may have supported improved gas retention and crumb uniformity. The reference specific volume observed for the literature-based straight-dough control (Sample E, ~2.75–2.85 cm³/g) was lower than the sponge-fermented control (Sample A, 3.30 cm³/g), which is consistent with the expected positive effect of pre-fermentation on loaf volume. However, as Sample E was not experimentally produced in this study, a direct statistical comparison could not be performed, and these observations should be interpreted as indicative trends for future confirmatory research.</w:t>
      </w:r>
    </w:p>
    <w:p w:rsidR="00DF5ECB" w:rsidRPr="00921A62" w:rsidRDefault="00DF5ECB" w:rsidP="00921A62">
      <w:pPr>
        <w:pStyle w:val="afffd"/>
        <w:spacing w:line="276" w:lineRule="auto"/>
        <w:ind w:left="0"/>
        <w:rPr>
          <w:rFonts w:cs="Arial"/>
          <w:szCs w:val="18"/>
          <w:lang w:val="en-US"/>
        </w:rPr>
      </w:pPr>
    </w:p>
    <w:p w:rsidR="00921A62" w:rsidRPr="00921A62" w:rsidRDefault="00921A62" w:rsidP="00921A62">
      <w:pPr>
        <w:pStyle w:val="afffd"/>
        <w:spacing w:line="276" w:lineRule="auto"/>
        <w:ind w:left="0"/>
        <w:rPr>
          <w:rFonts w:cs="Arial"/>
          <w:b/>
          <w:szCs w:val="18"/>
          <w:lang w:val="en-US"/>
        </w:rPr>
      </w:pPr>
      <w:r>
        <w:rPr>
          <w:rFonts w:cs="Arial"/>
          <w:b/>
          <w:szCs w:val="18"/>
          <w:lang w:val="en-US"/>
        </w:rPr>
        <w:t>3.5 Sensory evaluation</w:t>
      </w:r>
    </w:p>
    <w:p w:rsidR="00921A62" w:rsidRPr="00921A62" w:rsidRDefault="00921A62" w:rsidP="00921A62">
      <w:pPr>
        <w:pStyle w:val="CETBodytext"/>
        <w:spacing w:line="276" w:lineRule="auto"/>
        <w:rPr>
          <w:rFonts w:cs="Arial"/>
          <w:szCs w:val="18"/>
        </w:rPr>
      </w:pPr>
      <w:r>
        <w:rPr>
          <w:rFonts w:cs="Arial"/>
          <w:szCs w:val="18"/>
        </w:rPr>
        <w:t xml:space="preserve">The sensory evaluation results indicated that partial substitution of wheat–rye flour with Jerusalem artichoke powder influenced the overall acceptability of bread samples. The control sample (A, 0% JAP) achieved the highest overall sensory score (4.80 out of 5), indicating that the unmodified sponge-fermented formulation retained the most favorable sensory profile overall. Among the JAP-enriched formulations, the 7% substitution level (Sample C) demonstrated the most acceptable sensory characteristics (4.76), closely followed by 5% JAP (Sample B, 4.70). At higher substitution levels (10% JAP, Sample D), a notable decline in overall score (4.48) was observed, associated with reduced crumb porosity and altered flavor balance due to increased </w:t>
      </w:r>
      <w:r>
        <w:rPr>
          <w:rFonts w:cs="Arial"/>
          <w:szCs w:val="18"/>
        </w:rPr>
        <w:lastRenderedPageBreak/>
        <w:t>fiber content. These results suggest that moderate JAP enrichment at 7% offers the best compromise between nutritional improvement and sensory quality among the enriched formulations tested.</w:t>
      </w:r>
    </w:p>
    <w:p w:rsidR="00921A62" w:rsidRPr="00921A62" w:rsidRDefault="00921A62" w:rsidP="00921A62">
      <w:pPr>
        <w:pStyle w:val="afffd"/>
        <w:spacing w:line="276" w:lineRule="auto"/>
        <w:ind w:left="0"/>
        <w:rPr>
          <w:rFonts w:cs="Arial"/>
          <w:szCs w:val="18"/>
          <w:lang w:val="en-US"/>
        </w:rPr>
      </w:pPr>
      <w:r>
        <w:rPr>
          <w:noProof/>
          <w:lang w:val="ru-RU" w:eastAsia="ru-RU"/>
        </w:rPr>
        <w:drawing>
          <wp:inline distT="0" distB="0" distL="0" distR="0" wp14:anchorId="7F19F931" wp14:editId="2279CC68">
            <wp:extent cx="3313785" cy="2048256"/>
            <wp:effectExtent l="0" t="0" r="2032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bookmarkStart w:id="2" w:name="_GoBack"/>
      <w:bookmarkEnd w:id="2"/>
    </w:p>
    <w:p w:rsidR="00921A62" w:rsidRPr="00DF5ECB" w:rsidRDefault="00921A62" w:rsidP="00DF5ECB">
      <w:pPr>
        <w:spacing w:line="276" w:lineRule="auto"/>
        <w:rPr>
          <w:rFonts w:cs="Arial"/>
          <w:szCs w:val="18"/>
          <w:lang w:val="en-US"/>
        </w:rPr>
      </w:pPr>
      <w:r>
        <w:rPr>
          <w:rFonts w:cs="Arial"/>
          <w:bCs/>
          <w:szCs w:val="18"/>
          <w:lang w:val="en-BZ"/>
        </w:rPr>
        <w:t>Figure 4. Sensory profile c</w:t>
      </w:r>
      <w:r>
        <w:rPr>
          <w:rFonts w:eastAsiaTheme="minorEastAsia" w:cs="Arial"/>
          <w:bCs/>
          <w:szCs w:val="18"/>
          <w:lang w:val="en-BZ"/>
        </w:rPr>
        <w:t>omparison</w:t>
      </w:r>
    </w:p>
    <w:p w:rsidR="00921A62" w:rsidRDefault="00921A62" w:rsidP="00921A62">
      <w:pPr>
        <w:pStyle w:val="CETHeading1"/>
        <w:rPr>
          <w:lang w:val="en-GB"/>
        </w:rPr>
      </w:pPr>
      <w:r>
        <w:rPr>
          <w:lang w:val="en-GB"/>
        </w:rPr>
        <w:t>Conclusion</w:t>
      </w:r>
    </w:p>
    <w:p w:rsidR="00921A62" w:rsidRPr="00921A62" w:rsidRDefault="00921A62" w:rsidP="00921A62">
      <w:pPr>
        <w:pStyle w:val="CETBodytext"/>
        <w:rPr>
          <w:szCs w:val="18"/>
          <w:lang w:val="en-GB"/>
        </w:rPr>
      </w:pPr>
      <w:r>
        <w:rPr>
          <w:rFonts w:cs="Arial"/>
          <w:szCs w:val="18"/>
        </w:rPr>
        <w:t>The results demonstrate that the incorporation of Jerusalem artichoke powder (JAP) enhances the functional properties of rye–wheat bread by increasing dietary fiber content. However, higher substitution levels negatively affect dough structure and reduce specific volume. Based on observed trends and literature-reported parameters, sponge fermentation is expected to contribute to improved gas retention and crumb structure compared to straight-dough processing; however, a direct experimental comparison was not performed in this study and should be addressed in future research. The most favorable formulation among those experimentally tested was 7% JAP, which provided a balance between improved nutritional value and acceptable technological and sensory quality. These findings support the potential use of JAP as a functional ingredient in bakery products, and further studies with replicated measurements and a straight-dough control are recommended to confirm these trends.</w:t>
      </w:r>
    </w:p>
    <w:p w:rsidR="00280FAF" w:rsidRPr="00280FAF" w:rsidRDefault="00280FAF" w:rsidP="00280FAF">
      <w:pPr>
        <w:pStyle w:val="CETHeadingxx"/>
        <w:rPr>
          <w:lang w:val="en-GB"/>
        </w:rPr>
        <w:sectPr w:rsidR="00280FAF" w:rsidRPr="00280FAF" w:rsidSect="008314D7">
          <w:type w:val="continuous"/>
          <w:pgSz w:w="11906" w:h="16838" w:code="9"/>
          <w:pgMar w:top="1701" w:right="1418" w:bottom="1701" w:left="1701" w:header="1701" w:footer="0" w:gutter="0"/>
          <w:cols w:space="708"/>
          <w:formProt w:val="0"/>
          <w:titlePg/>
          <w:docGrid w:linePitch="360"/>
        </w:sectPr>
      </w:pPr>
      <w:r>
        <w:t>Nomenclature</w:t>
      </w:r>
    </w:p>
    <w:p w:rsidR="00921A62" w:rsidRDefault="00921A62" w:rsidP="00921A62">
      <w:pPr>
        <w:spacing w:line="276" w:lineRule="auto"/>
        <w:rPr>
          <w:rFonts w:cs="Arial"/>
          <w:szCs w:val="18"/>
          <w:lang w:val="en-US"/>
        </w:rPr>
      </w:pPr>
      <w:r>
        <w:rPr>
          <w:rFonts w:cs="Arial"/>
          <w:szCs w:val="18"/>
          <w:lang w:val="en-US"/>
        </w:rPr>
        <w:lastRenderedPageBreak/>
        <w:t>JAP- Jerusalem artichoke powder</w:t>
      </w:r>
    </w:p>
    <w:p w:rsidR="00E32107" w:rsidRPr="008E7311" w:rsidRDefault="002F61FA" w:rsidP="00921A62">
      <w:pPr>
        <w:spacing w:line="276" w:lineRule="auto"/>
        <w:rPr>
          <w:rFonts w:cs="Arial"/>
          <w:szCs w:val="18"/>
          <w:lang w:val="en-US"/>
        </w:rPr>
      </w:pPr>
      <w:proofErr w:type="spellStart"/>
      <w:proofErr w:type="gramStart"/>
      <w:r>
        <w:rPr>
          <w:rFonts w:cs="Arial"/>
          <w:szCs w:val="18"/>
          <w:lang w:val="en-US"/>
        </w:rPr>
        <w:t>d.m</w:t>
      </w:r>
      <w:proofErr w:type="spellEnd"/>
      <w:r>
        <w:rPr>
          <w:rFonts w:cs="Arial"/>
          <w:szCs w:val="18"/>
          <w:lang w:val="en-US"/>
        </w:rPr>
        <w:t>.-dry</w:t>
      </w:r>
      <w:proofErr w:type="gramEnd"/>
      <w:r>
        <w:rPr>
          <w:rFonts w:cs="Arial"/>
          <w:szCs w:val="18"/>
          <w:lang w:val="en-US"/>
        </w:rPr>
        <w:t xml:space="preserve"> matter basis</w:t>
      </w:r>
    </w:p>
    <w:p w:rsidR="00280FAF" w:rsidRDefault="00280FAF" w:rsidP="00280FAF">
      <w:pPr>
        <w:pStyle w:val="CETBodytext"/>
        <w:jc w:val="left"/>
        <w:rPr>
          <w:rFonts w:eastAsia="SimSun"/>
        </w:rPr>
      </w:pPr>
    </w:p>
    <w:p w:rsidR="00E32107" w:rsidRPr="00E377D0" w:rsidRDefault="00E32107" w:rsidP="00280FAF">
      <w:pPr>
        <w:pStyle w:val="CETBodytext"/>
        <w:jc w:val="left"/>
        <w:rPr>
          <w:rFonts w:eastAsia="SimSun"/>
        </w:rPr>
        <w:sectPr w:rsidR="00E32107" w:rsidRPr="00E377D0" w:rsidSect="008314D7">
          <w:type w:val="continuous"/>
          <w:pgSz w:w="11906" w:h="16838" w:code="9"/>
          <w:pgMar w:top="1701" w:right="1418" w:bottom="1701" w:left="1701" w:header="1701" w:footer="0" w:gutter="0"/>
          <w:cols w:num="2" w:space="708"/>
          <w:formProt w:val="0"/>
          <w:titlePg/>
          <w:docGrid w:linePitch="360"/>
        </w:sectPr>
      </w:pPr>
    </w:p>
    <w:p w:rsidR="00C52C3C" w:rsidRDefault="00600535" w:rsidP="00921A62">
      <w:pPr>
        <w:pStyle w:val="CETReference"/>
      </w:pPr>
      <w:r>
        <w:lastRenderedPageBreak/>
        <w:t>References</w:t>
      </w:r>
    </w:p>
    <w:p w:rsidR="00921A62" w:rsidRPr="008E7311" w:rsidRDefault="00921A62" w:rsidP="00921A62">
      <w:pPr>
        <w:spacing w:line="276" w:lineRule="auto"/>
        <w:rPr>
          <w:rFonts w:cs="Arial"/>
          <w:szCs w:val="18"/>
          <w:lang w:val="en-US"/>
        </w:rPr>
      </w:pPr>
      <w:r>
        <w:rPr>
          <w:rFonts w:cs="Arial"/>
          <w:szCs w:val="18"/>
          <w:lang w:val="en-US"/>
        </w:rPr>
        <w:t>Arendt, E.K., Zannini, E., 2013. Cereal Grains for the Food and Beverage Industries. Woodhead Publishing,    Cambridge.</w:t>
      </w:r>
    </w:p>
    <w:p w:rsidR="00921A62" w:rsidRPr="008E7311" w:rsidRDefault="00921A62" w:rsidP="00921A62">
      <w:pPr>
        <w:spacing w:line="276" w:lineRule="auto"/>
        <w:rPr>
          <w:rFonts w:cs="Arial"/>
          <w:szCs w:val="18"/>
          <w:lang w:val="en-US"/>
        </w:rPr>
      </w:pPr>
      <w:r>
        <w:rPr>
          <w:rFonts w:cs="Arial"/>
          <w:szCs w:val="18"/>
          <w:lang w:val="en-US"/>
        </w:rPr>
        <w:t>Corsetti, A., Settanni, L., 2007. Lactobacilli in sourdough fermentation. Food Research International 40 (5),    539–558. https://doi.org/10.1016/j.foodres.2006.11.001</w:t>
      </w:r>
      <w:r>
        <w:rPr>
          <w:rFonts w:ascii="Segoe UI Symbol" w:hAnsi="Segoe UI Symbol" w:cs="Segoe UI Symbol"/>
          <w:szCs w:val="18"/>
          <w:lang w:val="en-US"/>
        </w:rPr>
        <w:t>⁠</w:t>
      </w:r>
    </w:p>
    <w:p w:rsidR="00921A62" w:rsidRPr="008E7311" w:rsidRDefault="00921A62" w:rsidP="00921A62">
      <w:pPr>
        <w:spacing w:line="276" w:lineRule="auto"/>
        <w:rPr>
          <w:rFonts w:cs="Arial"/>
          <w:szCs w:val="18"/>
          <w:lang w:val="en-US"/>
        </w:rPr>
      </w:pPr>
      <w:r>
        <w:rPr>
          <w:rFonts w:cs="Arial"/>
          <w:szCs w:val="18"/>
          <w:lang w:val="en-US"/>
        </w:rPr>
        <w:t>Gibson, G.R., Roberfroid, M.B., 1995. Dietary modulation of the human colonic microbiota: introducing the concept of prebiotics. Journal of Nutrition 125 (6), 1401–1412. https://doi.org/10.1093/jn/125.6.1401</w:t>
      </w:r>
      <w:r>
        <w:rPr>
          <w:rFonts w:ascii="Segoe UI Symbol" w:hAnsi="Segoe UI Symbol" w:cs="Segoe UI Symbol"/>
          <w:szCs w:val="18"/>
          <w:lang w:val="en-US"/>
        </w:rPr>
        <w:t>⁠</w:t>
      </w:r>
    </w:p>
    <w:p w:rsidR="00921A62" w:rsidRPr="008E7311" w:rsidRDefault="00921A62" w:rsidP="00921A62">
      <w:pPr>
        <w:spacing w:line="276" w:lineRule="auto"/>
        <w:rPr>
          <w:rFonts w:cs="Arial"/>
          <w:szCs w:val="18"/>
          <w:lang w:val="en-US"/>
        </w:rPr>
      </w:pPr>
      <w:r>
        <w:rPr>
          <w:rFonts w:cs="Arial"/>
          <w:szCs w:val="18"/>
          <w:lang w:val="en-US"/>
        </w:rPr>
        <w:t>Katina, K., Laitila, A., Juvonen, R., Liukkonen, K.H., Kariluoto, S., Piironen, V., Poutanen, K., 2005. Bran fermentation as a means to enhance technological properties and bioactivity of rye bread. Food Microbiology 22 (4), 309–318. https://doi.org/10.1016/j.fm.2004.07.001</w:t>
      </w:r>
      <w:r>
        <w:rPr>
          <w:rFonts w:ascii="Segoe UI Symbol" w:hAnsi="Segoe UI Symbol" w:cs="Segoe UI Symbol"/>
          <w:szCs w:val="18"/>
          <w:lang w:val="en-US"/>
        </w:rPr>
        <w:t>⁠</w:t>
      </w:r>
    </w:p>
    <w:p w:rsidR="00921A62" w:rsidRPr="008E7311" w:rsidRDefault="00921A62" w:rsidP="00921A62">
      <w:pPr>
        <w:spacing w:line="276" w:lineRule="auto"/>
        <w:rPr>
          <w:rFonts w:cs="Arial"/>
          <w:szCs w:val="18"/>
          <w:lang w:val="en-US"/>
        </w:rPr>
      </w:pPr>
      <w:r>
        <w:rPr>
          <w:rFonts w:cs="Arial"/>
          <w:szCs w:val="18"/>
          <w:lang w:val="en-US"/>
        </w:rPr>
        <w:t>Ktenioudaki, A., Gallagher, E., 2012. Recent advances in the development of high-fiber baked products. Trends in Food Science &amp; Technology 28 (1), 4–14. https://doi.org/10.1016/j.tifs.2012.06.004</w:t>
      </w:r>
      <w:r>
        <w:rPr>
          <w:rFonts w:ascii="Segoe UI Symbol" w:hAnsi="Segoe UI Symbol" w:cs="Segoe UI Symbol"/>
          <w:szCs w:val="18"/>
          <w:lang w:val="en-US"/>
        </w:rPr>
        <w:t>⁠</w:t>
      </w:r>
    </w:p>
    <w:p w:rsidR="00FA1F40" w:rsidRDefault="00921A62" w:rsidP="00921A62">
      <w:pPr>
        <w:spacing w:line="276" w:lineRule="auto"/>
        <w:rPr>
          <w:rFonts w:cs="Arial"/>
          <w:szCs w:val="18"/>
          <w:lang w:val="en-US"/>
        </w:rPr>
      </w:pPr>
      <w:r>
        <w:rPr>
          <w:rFonts w:cs="Arial"/>
          <w:szCs w:val="18"/>
          <w:lang w:val="en-US"/>
        </w:rPr>
        <w:t>Mensink, M.A., Frijlink, H.W., van der Voort Maarschalk, K., Hinrichs, W.L.J., 2015. Inulin, a flexible oligosaccharide: review of its physicochemical characteristics and functionality. Carbohydrate Polymers 130, 405–419. https://doi.org/10.1016/j.carbpol.2015.05.026</w:t>
      </w:r>
      <w:r>
        <w:rPr>
          <w:rFonts w:ascii="Segoe UI Symbol" w:hAnsi="Segoe UI Symbol" w:cs="Segoe UI Symbol"/>
          <w:szCs w:val="18"/>
          <w:lang w:val="en-US"/>
        </w:rPr>
        <w:t>⁠</w:t>
      </w:r>
    </w:p>
    <w:p w:rsidR="00921A62" w:rsidRPr="008E7311" w:rsidRDefault="00921A62" w:rsidP="00921A62">
      <w:pPr>
        <w:spacing w:line="276" w:lineRule="auto"/>
        <w:rPr>
          <w:rFonts w:cs="Arial"/>
          <w:szCs w:val="18"/>
          <w:lang w:val="en-US"/>
        </w:rPr>
      </w:pPr>
      <w:proofErr w:type="spellStart"/>
      <w:r>
        <w:rPr>
          <w:rFonts w:cs="Arial"/>
          <w:szCs w:val="18"/>
          <w:lang w:val="en-US"/>
        </w:rPr>
        <w:t>Poutanen</w:t>
      </w:r>
      <w:proofErr w:type="spellEnd"/>
      <w:r>
        <w:rPr>
          <w:rFonts w:cs="Arial"/>
          <w:szCs w:val="18"/>
          <w:lang w:val="en-US"/>
        </w:rPr>
        <w:t>, K., Flander, L., Katina, K., 2009. Sourdough and cereal fermentation in a nutritional perspective. Journal of Cereal Science 49 (3), 355–364. https://doi.org/10.1016/j.jcs.2009.01.011</w:t>
      </w:r>
      <w:r>
        <w:rPr>
          <w:rFonts w:ascii="Segoe UI Symbol" w:hAnsi="Segoe UI Symbol" w:cs="Segoe UI Symbol"/>
          <w:szCs w:val="18"/>
          <w:lang w:val="en-US"/>
        </w:rPr>
        <w:t>⁠</w:t>
      </w:r>
    </w:p>
    <w:p w:rsidR="00921A62" w:rsidRDefault="00921A62" w:rsidP="00921A62">
      <w:pPr>
        <w:rPr>
          <w:rFonts w:ascii="Segoe UI Symbol" w:hAnsi="Segoe UI Symbol" w:cs="Segoe UI Symbol"/>
          <w:szCs w:val="18"/>
          <w:lang w:val="en-US"/>
        </w:rPr>
      </w:pPr>
      <w:r>
        <w:rPr>
          <w:rFonts w:cs="Arial"/>
          <w:szCs w:val="18"/>
          <w:lang w:val="en-US"/>
        </w:rPr>
        <w:t>Roberfroid, M.B., 2007. Prebiotics: the concept revisited. Journal of Nutrition 137 (3 Suppl 2), 830S–837S. https://doi.org/10.1093/jn/137.3.830S</w:t>
      </w:r>
      <w:r>
        <w:rPr>
          <w:rFonts w:ascii="Segoe UI Symbol" w:hAnsi="Segoe UI Symbol" w:cs="Segoe UI Symbol"/>
          <w:szCs w:val="18"/>
          <w:lang w:val="en-US"/>
        </w:rPr>
        <w:t>⁠</w:t>
      </w:r>
    </w:p>
    <w:p w:rsidR="004628D2" w:rsidRPr="002B6F1C" w:rsidRDefault="00921A62" w:rsidP="002B6F1C">
      <w:pPr>
        <w:spacing w:line="276" w:lineRule="auto"/>
        <w:rPr>
          <w:rFonts w:cs="Arial"/>
          <w:szCs w:val="18"/>
          <w:lang w:val="en-US"/>
        </w:rPr>
      </w:pPr>
      <w:r>
        <w:rPr>
          <w:rFonts w:cs="Arial"/>
          <w:szCs w:val="18"/>
          <w:lang w:val="en-US"/>
        </w:rPr>
        <w:t xml:space="preserve">Sultonboeva Z.Kh. , Achilova S.S., Rakhimov J.G. 2025. Optimization of the physicochemical properties of powder obtained from jerusalem artichoke tubers. </w:t>
      </w:r>
      <w:proofErr w:type="gramStart"/>
      <w:r>
        <w:rPr>
          <w:rFonts w:cs="Arial"/>
          <w:szCs w:val="18"/>
          <w:lang w:val="en-US"/>
        </w:rPr>
        <w:t>Universum-texnicheskie nauki 12 (141).</w:t>
      </w:r>
      <w:proofErr w:type="gramEnd"/>
      <w:r>
        <w:rPr>
          <w:rFonts w:cs="Arial"/>
          <w:szCs w:val="18"/>
          <w:lang w:val="en-US"/>
        </w:rPr>
        <w:t xml:space="preserve"> </w:t>
      </w:r>
    </w:p>
    <w:sectPr w:rsidR="004628D2" w:rsidRPr="002B6F1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31B3" w:rsidRDefault="007B31B3" w:rsidP="004F5E36">
      <w:r>
        <w:separator/>
      </w:r>
    </w:p>
  </w:endnote>
  <w:endnote w:type="continuationSeparator" w:id="0">
    <w:p w:rsidR="007B31B3" w:rsidRDefault="007B31B3"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31B3" w:rsidRDefault="007B31B3" w:rsidP="004F5E36">
      <w:r>
        <w:separator/>
      </w:r>
    </w:p>
  </w:footnote>
  <w:footnote w:type="continuationSeparator" w:id="0">
    <w:p w:rsidR="007B31B3" w:rsidRDefault="007B31B3" w:rsidP="004F5E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nsid w:val="FFFFFF7E"/>
    <w:multiLevelType w:val="singleLevel"/>
    <w:tmpl w:val="408CBE96"/>
    <w:lvl w:ilvl="0">
      <w:start w:val="1"/>
      <w:numFmt w:val="decimal"/>
      <w:pStyle w:val="3"/>
      <w:lvlText w:val="%1."/>
      <w:lvlJc w:val="left"/>
      <w:pPr>
        <w:tabs>
          <w:tab w:val="num" w:pos="926"/>
        </w:tabs>
        <w:ind w:left="926" w:hanging="360"/>
      </w:pPr>
    </w:lvl>
  </w:abstractNum>
  <w:abstractNum w:abstractNumId="3">
    <w:nsid w:val="FFFFFF7F"/>
    <w:multiLevelType w:val="singleLevel"/>
    <w:tmpl w:val="CFC0B388"/>
    <w:lvl w:ilvl="0">
      <w:start w:val="1"/>
      <w:numFmt w:val="decimal"/>
      <w:pStyle w:val="2"/>
      <w:lvlText w:val="%1."/>
      <w:lvlJc w:val="left"/>
      <w:pPr>
        <w:tabs>
          <w:tab w:val="num" w:pos="643"/>
        </w:tabs>
        <w:ind w:left="643" w:hanging="360"/>
      </w:pPr>
    </w:lvl>
  </w:abstractNum>
  <w:abstractNum w:abstractNumId="4">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5F4206A"/>
    <w:lvl w:ilvl="0">
      <w:start w:val="1"/>
      <w:numFmt w:val="decimal"/>
      <w:pStyle w:val="a"/>
      <w:lvlText w:val="%1."/>
      <w:lvlJc w:val="left"/>
      <w:pPr>
        <w:tabs>
          <w:tab w:val="num" w:pos="360"/>
        </w:tabs>
        <w:ind w:left="360" w:hanging="360"/>
      </w:pPr>
    </w:lvl>
  </w:abstractNum>
  <w:abstractNum w:abstractNumId="9">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44B0"/>
    <w:rsid w:val="000052FB"/>
    <w:rsid w:val="00005884"/>
    <w:rsid w:val="00005A19"/>
    <w:rsid w:val="000117CB"/>
    <w:rsid w:val="000173F9"/>
    <w:rsid w:val="0002701F"/>
    <w:rsid w:val="0003148D"/>
    <w:rsid w:val="00031EEC"/>
    <w:rsid w:val="00051566"/>
    <w:rsid w:val="000562A9"/>
    <w:rsid w:val="00062A9A"/>
    <w:rsid w:val="00065058"/>
    <w:rsid w:val="00086C39"/>
    <w:rsid w:val="000A03B2"/>
    <w:rsid w:val="000D0268"/>
    <w:rsid w:val="000D0CFF"/>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2663"/>
    <w:rsid w:val="00296B83"/>
    <w:rsid w:val="002B4015"/>
    <w:rsid w:val="002B6B3B"/>
    <w:rsid w:val="002B6F1C"/>
    <w:rsid w:val="002B78CE"/>
    <w:rsid w:val="002C2FB6"/>
    <w:rsid w:val="002E5FA7"/>
    <w:rsid w:val="002F3309"/>
    <w:rsid w:val="002F61FA"/>
    <w:rsid w:val="003008CE"/>
    <w:rsid w:val="003009B7"/>
    <w:rsid w:val="00300E56"/>
    <w:rsid w:val="0030152C"/>
    <w:rsid w:val="0030469C"/>
    <w:rsid w:val="00321CA6"/>
    <w:rsid w:val="00323763"/>
    <w:rsid w:val="00323C5F"/>
    <w:rsid w:val="00334C09"/>
    <w:rsid w:val="003723D4"/>
    <w:rsid w:val="00373153"/>
    <w:rsid w:val="00381905"/>
    <w:rsid w:val="00384CC8"/>
    <w:rsid w:val="003871FD"/>
    <w:rsid w:val="003A1E30"/>
    <w:rsid w:val="003A2829"/>
    <w:rsid w:val="003A7D1C"/>
    <w:rsid w:val="003B2101"/>
    <w:rsid w:val="003B304B"/>
    <w:rsid w:val="003B3146"/>
    <w:rsid w:val="003D1E02"/>
    <w:rsid w:val="003F015E"/>
    <w:rsid w:val="00400414"/>
    <w:rsid w:val="0041446B"/>
    <w:rsid w:val="0044071E"/>
    <w:rsid w:val="00440B27"/>
    <w:rsid w:val="0044329C"/>
    <w:rsid w:val="00453E24"/>
    <w:rsid w:val="00457456"/>
    <w:rsid w:val="004577FE"/>
    <w:rsid w:val="00457B9C"/>
    <w:rsid w:val="0046164A"/>
    <w:rsid w:val="004628D2"/>
    <w:rsid w:val="00462DCD"/>
    <w:rsid w:val="004648AD"/>
    <w:rsid w:val="004703A9"/>
    <w:rsid w:val="004760DE"/>
    <w:rsid w:val="004763D7"/>
    <w:rsid w:val="00477072"/>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5699"/>
    <w:rsid w:val="005E794C"/>
    <w:rsid w:val="005F0A28"/>
    <w:rsid w:val="005F0E5E"/>
    <w:rsid w:val="00600535"/>
    <w:rsid w:val="00610CD6"/>
    <w:rsid w:val="00620DEE"/>
    <w:rsid w:val="00621F92"/>
    <w:rsid w:val="0062280A"/>
    <w:rsid w:val="006231E1"/>
    <w:rsid w:val="00625639"/>
    <w:rsid w:val="00631315"/>
    <w:rsid w:val="00631B33"/>
    <w:rsid w:val="0064184D"/>
    <w:rsid w:val="006422CC"/>
    <w:rsid w:val="00651D18"/>
    <w:rsid w:val="00660E3E"/>
    <w:rsid w:val="00662E74"/>
    <w:rsid w:val="00664F9F"/>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18AD"/>
    <w:rsid w:val="007A4861"/>
    <w:rsid w:val="007A7BBA"/>
    <w:rsid w:val="007B0C50"/>
    <w:rsid w:val="007B31B3"/>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1A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2CEA"/>
    <w:rsid w:val="00B93F69"/>
    <w:rsid w:val="00BB1DDC"/>
    <w:rsid w:val="00BC30C9"/>
    <w:rsid w:val="00BD077D"/>
    <w:rsid w:val="00BE3E58"/>
    <w:rsid w:val="00C00AA0"/>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0EDA"/>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DF5ECB"/>
    <w:rsid w:val="00E02D18"/>
    <w:rsid w:val="00E041E7"/>
    <w:rsid w:val="00E23CA1"/>
    <w:rsid w:val="00E32107"/>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EF7D19"/>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1F40"/>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locked="1"/>
    <w:lsdException w:name="Title" w:semiHidden="0" w:uiPriority="10" w:unhideWhenUsed="0"/>
    <w:lsdException w:name="Default Paragraph Font" w:uiPriority="1"/>
    <w:lsdException w:name="Subtitle" w:semiHidden="0" w:uiPriority="11" w:unhideWhenUsed="0"/>
    <w:lsdException w:name="Hyperlink" w:locked="1"/>
    <w:lsdException w:name="Strong" w:semiHidden="0" w:uiPriority="22" w:unhideWhenUsed="0"/>
    <w:lsdException w:name="Emphasis" w:semiHidden="0" w:uiPriority="20" w:unhideWhenUsed="0"/>
    <w:lsdException w:name="Table Simple 1"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locked="1"/>
    <w:lsdException w:name="Title" w:semiHidden="0" w:uiPriority="10" w:unhideWhenUsed="0"/>
    <w:lsdException w:name="Default Paragraph Font" w:uiPriority="1"/>
    <w:lsdException w:name="Subtitle" w:semiHidden="0" w:uiPriority="11" w:unhideWhenUsed="0"/>
    <w:lsdException w:name="Hyperlink" w:locked="1"/>
    <w:lsdException w:name="Strong" w:semiHidden="0" w:uiPriority="22" w:unhideWhenUsed="0"/>
    <w:lsdException w:name="Emphasis" w:semiHidden="0" w:uiPriority="20" w:unhideWhenUsed="0"/>
    <w:lsdException w:name="Table Simple 1"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'Fig1 - Specific Volume'!$B$1</c:f>
              <c:strCache>
                <c:ptCount val="1"/>
                <c:pt idx="0">
                  <c:v>Specific Volume (cm³/g)</c:v>
                </c:pt>
              </c:strCache>
            </c:strRef>
          </c:tx>
          <c:spPr>
            <a:solidFill>
              <a:srgbClr val="1A4FA0"/>
            </a:solidFill>
            <a:ln w="9360">
              <a:solidFill>
                <a:srgbClr val="F9F9F9"/>
              </a:solidFill>
              <a:round/>
            </a:ln>
          </c:spPr>
          <c:invertIfNegative val="0"/>
          <c:dLbls>
            <c:txPr>
              <a:bodyPr wrap="none"/>
              <a:lstStyle/>
              <a:p>
                <a:pPr>
                  <a:defRPr sz="1000" b="0" strike="noStrike" spc="-1">
                    <a:latin typeface="Arial"/>
                  </a:defRPr>
                </a:pPr>
                <a:endParaRPr lang="ru-RU"/>
              </a:p>
            </c:txPr>
            <c:showLegendKey val="0"/>
            <c:showVal val="0"/>
            <c:showCatName val="0"/>
            <c:showSerName val="0"/>
            <c:showPercent val="0"/>
            <c:showBubbleSize val="1"/>
            <c:showLeaderLines val="0"/>
            <c:extLst>
              <c:ext xmlns:c15="http://schemas.microsoft.com/office/drawing/2012/chart" uri="{CE6537A1-D6FC-4f65-9D91-7224C49458BB}">
                <c15:showLeaderLines val="1"/>
              </c:ext>
            </c:extLst>
          </c:dLbls>
          <c:cat>
            <c:strRef>
              <c:f>'Fig1 - Specific Volume'!$A$2:$A$5</c:f>
              <c:strCache>
                <c:ptCount val="4"/>
                <c:pt idx="0">
                  <c:v>A (0% JAP)</c:v>
                </c:pt>
                <c:pt idx="1">
                  <c:v>B (5% JAP)</c:v>
                </c:pt>
                <c:pt idx="2">
                  <c:v>C (7% JAP)</c:v>
                </c:pt>
                <c:pt idx="3">
                  <c:v>D (10% JAP)</c:v>
                </c:pt>
              </c:strCache>
            </c:strRef>
          </c:cat>
          <c:val>
            <c:numRef>
              <c:f>'Fig1 - Specific Volume'!$B$2:$B$5</c:f>
              <c:numCache>
                <c:formatCode>General</c:formatCode>
                <c:ptCount val="4"/>
                <c:pt idx="0">
                  <c:v>3.3</c:v>
                </c:pt>
                <c:pt idx="1">
                  <c:v>3.19</c:v>
                </c:pt>
                <c:pt idx="2">
                  <c:v>3.13</c:v>
                </c:pt>
                <c:pt idx="3">
                  <c:v>3.02</c:v>
                </c:pt>
              </c:numCache>
            </c:numRef>
          </c:val>
        </c:ser>
        <c:dLbls>
          <c:showLegendKey val="0"/>
          <c:showVal val="0"/>
          <c:showCatName val="0"/>
          <c:showSerName val="0"/>
          <c:showPercent val="0"/>
          <c:showBubbleSize val="0"/>
        </c:dLbls>
        <c:gapWidth val="150"/>
        <c:axId val="292086144"/>
        <c:axId val="300666240"/>
      </c:barChart>
      <c:catAx>
        <c:axId val="292086144"/>
        <c:scaling>
          <c:orientation val="minMax"/>
        </c:scaling>
        <c:delete val="0"/>
        <c:axPos val="b"/>
        <c:title>
          <c:tx>
            <c:rich>
              <a:bodyPr rot="0"/>
              <a:lstStyle/>
              <a:p>
                <a:pPr>
                  <a:defRPr sz="1000" b="1" strike="noStrike" spc="-1">
                    <a:solidFill>
                      <a:srgbClr val="000000"/>
                    </a:solidFill>
                    <a:latin typeface="Calibri"/>
                  </a:defRPr>
                </a:pPr>
                <a:r>
                  <a:rPr lang="en-BZ" sz="1000" b="1" strike="noStrike" spc="-1">
                    <a:solidFill>
                      <a:srgbClr val="000000"/>
                    </a:solidFill>
                    <a:latin typeface="Calibri"/>
                  </a:rPr>
                  <a:t>JAP Substitution Level</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00666240"/>
        <c:crosses val="autoZero"/>
        <c:auto val="1"/>
        <c:lblAlgn val="ctr"/>
        <c:lblOffset val="100"/>
        <c:noMultiLvlLbl val="0"/>
      </c:catAx>
      <c:valAx>
        <c:axId val="300666240"/>
        <c:scaling>
          <c:orientation val="minMax"/>
          <c:max val="3.6"/>
          <c:min val="2.5"/>
        </c:scaling>
        <c:delete val="0"/>
        <c:axPos val="l"/>
        <c:majorGridlines>
          <c:spPr>
            <a:ln w="9360">
              <a:solidFill>
                <a:srgbClr val="878787"/>
              </a:solidFill>
              <a:round/>
            </a:ln>
          </c:spPr>
        </c:majorGridlines>
        <c:title>
          <c:tx>
            <c:rich>
              <a:bodyPr rot="-5400000"/>
              <a:lstStyle/>
              <a:p>
                <a:pPr>
                  <a:defRPr sz="1000" b="1" strike="noStrike" spc="-1">
                    <a:solidFill>
                      <a:srgbClr val="000000"/>
                    </a:solidFill>
                    <a:latin typeface="Calibri"/>
                  </a:defRPr>
                </a:pPr>
                <a:r>
                  <a:rPr lang="en-BZ" sz="1000" b="1" strike="noStrike" spc="-1">
                    <a:solidFill>
                      <a:srgbClr val="000000"/>
                    </a:solidFill>
                    <a:latin typeface="Calibri"/>
                  </a:rPr>
                  <a:t>Specific Volume (cm³/g)</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292086144"/>
        <c:crosses val="autoZero"/>
        <c:crossBetween val="between"/>
      </c:valAx>
      <c:spPr>
        <a:noFill/>
        <a:ln w="0">
          <a:noFill/>
        </a:ln>
      </c:spPr>
    </c:plotArea>
    <c:legend>
      <c:legendPos val="r"/>
      <c:overlay val="0"/>
      <c:spPr>
        <a:noFill/>
        <a:ln w="0">
          <a:noFill/>
        </a:ln>
      </c:spPr>
      <c:txPr>
        <a:bodyPr/>
        <a:lstStyle/>
        <a:p>
          <a:pPr>
            <a:defRPr sz="1000" b="0" strike="noStrike" spc="-1">
              <a:solidFill>
                <a:srgbClr val="000000"/>
              </a:solidFill>
              <a:latin typeface="Calibri"/>
            </a:defRPr>
          </a:pPr>
          <a:endParaRPr lang="ru-RU"/>
        </a:p>
      </c:txPr>
    </c:legend>
    <c:plotVisOnly val="1"/>
    <c:dispBlanksAs val="gap"/>
    <c:showDLblsOverMax val="1"/>
  </c:chart>
  <c:spPr>
    <a:solidFill>
      <a:srgbClr val="FFFFFF"/>
    </a:solidFill>
    <a:ln w="9360">
      <a:solidFill>
        <a:srgbClr val="D9D9D9"/>
      </a:solidFill>
      <a:round/>
    </a:ln>
  </c:sp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'Fig2 - Moisture'!$B$1</c:f>
              <c:strCache>
                <c:ptCount val="1"/>
                <c:pt idx="0">
                  <c:v>Moisture (%)</c:v>
                </c:pt>
              </c:strCache>
            </c:strRef>
          </c:tx>
          <c:spPr>
            <a:ln w="20160">
              <a:solidFill>
                <a:srgbClr val="378ADD"/>
              </a:solidFill>
              <a:round/>
            </a:ln>
          </c:spPr>
          <c:marker>
            <c:symbol val="none"/>
          </c:marker>
          <c:dLbls>
            <c:txPr>
              <a:bodyPr wrap="none"/>
              <a:lstStyle/>
              <a:p>
                <a:pPr>
                  <a:defRPr sz="1000" b="0" strike="noStrike" spc="-1">
                    <a:latin typeface="Arial"/>
                  </a:defRPr>
                </a:pPr>
                <a:endParaRPr lang="ru-RU"/>
              </a:p>
            </c:txPr>
            <c:showLegendKey val="0"/>
            <c:showVal val="0"/>
            <c:showCatName val="0"/>
            <c:showSerName val="0"/>
            <c:showPercent val="0"/>
            <c:showBubbleSize val="1"/>
            <c:showLeaderLines val="0"/>
            <c:extLst>
              <c:ext xmlns:c15="http://schemas.microsoft.com/office/drawing/2012/chart" uri="{CE6537A1-D6FC-4f65-9D91-7224C49458BB}">
                <c15:showLeaderLines val="1"/>
              </c:ext>
            </c:extLst>
          </c:dLbls>
          <c:cat>
            <c:strRef>
              <c:f>'Fig2 - Moisture'!$A$2:$A$5</c:f>
              <c:strCache>
                <c:ptCount val="4"/>
                <c:pt idx="0">
                  <c:v>A (0%)</c:v>
                </c:pt>
                <c:pt idx="1">
                  <c:v>B (5%)</c:v>
                </c:pt>
                <c:pt idx="2">
                  <c:v>C (7%)</c:v>
                </c:pt>
                <c:pt idx="3">
                  <c:v>D (10%)</c:v>
                </c:pt>
              </c:strCache>
            </c:strRef>
          </c:cat>
          <c:val>
            <c:numRef>
              <c:f>'Fig2 - Moisture'!$B$2:$B$5</c:f>
              <c:numCache>
                <c:formatCode>General</c:formatCode>
                <c:ptCount val="4"/>
                <c:pt idx="0">
                  <c:v>44.7</c:v>
                </c:pt>
                <c:pt idx="1">
                  <c:v>45.83</c:v>
                </c:pt>
                <c:pt idx="2">
                  <c:v>47.01</c:v>
                </c:pt>
                <c:pt idx="3">
                  <c:v>48.66</c:v>
                </c:pt>
              </c:numCache>
            </c:numRef>
          </c:val>
          <c:smooth val="1"/>
        </c:ser>
        <c:dLbls>
          <c:showLegendKey val="0"/>
          <c:showVal val="0"/>
          <c:showCatName val="0"/>
          <c:showSerName val="0"/>
          <c:showPercent val="0"/>
          <c:showBubbleSize val="0"/>
        </c:dLbls>
        <c:hiLowLines>
          <c:spPr>
            <a:ln w="0">
              <a:noFill/>
            </a:ln>
          </c:spPr>
        </c:hiLowLines>
        <c:marker val="1"/>
        <c:smooth val="0"/>
        <c:axId val="301968768"/>
        <c:axId val="302561536"/>
      </c:lineChart>
      <c:catAx>
        <c:axId val="301968768"/>
        <c:scaling>
          <c:orientation val="minMax"/>
        </c:scaling>
        <c:delete val="0"/>
        <c:axPos val="b"/>
        <c:title>
          <c:tx>
            <c:rich>
              <a:bodyPr rot="0"/>
              <a:lstStyle/>
              <a:p>
                <a:pPr>
                  <a:defRPr sz="1000" b="1" strike="noStrike" spc="-1">
                    <a:solidFill>
                      <a:srgbClr val="000000"/>
                    </a:solidFill>
                    <a:latin typeface="Calibri"/>
                  </a:defRPr>
                </a:pPr>
                <a:r>
                  <a:rPr lang="en-BZ" sz="1000" b="1" strike="noStrike" spc="-1">
                    <a:solidFill>
                      <a:srgbClr val="000000"/>
                    </a:solidFill>
                    <a:latin typeface="Calibri"/>
                  </a:rPr>
                  <a:t>JAP Substitution Level</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02561536"/>
        <c:crosses val="autoZero"/>
        <c:auto val="1"/>
        <c:lblAlgn val="ctr"/>
        <c:lblOffset val="100"/>
        <c:noMultiLvlLbl val="0"/>
      </c:catAx>
      <c:valAx>
        <c:axId val="302561536"/>
        <c:scaling>
          <c:orientation val="minMax"/>
          <c:max val="50"/>
          <c:min val="43"/>
        </c:scaling>
        <c:delete val="0"/>
        <c:axPos val="l"/>
        <c:majorGridlines>
          <c:spPr>
            <a:ln w="9360">
              <a:solidFill>
                <a:srgbClr val="878787"/>
              </a:solidFill>
              <a:round/>
            </a:ln>
          </c:spPr>
        </c:majorGridlines>
        <c:title>
          <c:tx>
            <c:rich>
              <a:bodyPr rot="-5400000"/>
              <a:lstStyle/>
              <a:p>
                <a:pPr>
                  <a:defRPr sz="1000" b="1" strike="noStrike" spc="-1">
                    <a:solidFill>
                      <a:srgbClr val="000000"/>
                    </a:solidFill>
                    <a:latin typeface="Calibri"/>
                  </a:defRPr>
                </a:pPr>
                <a:r>
                  <a:rPr lang="en-BZ" sz="1000" b="1" strike="noStrike" spc="-1">
                    <a:solidFill>
                      <a:srgbClr val="000000"/>
                    </a:solidFill>
                    <a:latin typeface="Calibri"/>
                  </a:rPr>
                  <a:t>Moisture Content (%)</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01968768"/>
        <c:crosses val="autoZero"/>
        <c:crossBetween val="between"/>
      </c:valAx>
      <c:spPr>
        <a:noFill/>
        <a:ln w="0">
          <a:noFill/>
        </a:ln>
      </c:spPr>
    </c:plotArea>
    <c:legend>
      <c:legendPos val="r"/>
      <c:overlay val="0"/>
      <c:spPr>
        <a:noFill/>
        <a:ln w="0">
          <a:noFill/>
        </a:ln>
      </c:spPr>
      <c:txPr>
        <a:bodyPr/>
        <a:lstStyle/>
        <a:p>
          <a:pPr>
            <a:defRPr sz="1000" b="0" strike="noStrike" spc="-1">
              <a:solidFill>
                <a:srgbClr val="000000"/>
              </a:solidFill>
              <a:latin typeface="Calibri"/>
            </a:defRPr>
          </a:pPr>
          <a:endParaRPr lang="ru-RU"/>
        </a:p>
      </c:txPr>
    </c:legend>
    <c:plotVisOnly val="1"/>
    <c:dispBlanksAs val="gap"/>
    <c:showDLblsOverMax val="1"/>
  </c:chart>
  <c:spPr>
    <a:solidFill>
      <a:srgbClr val="FFFFFF"/>
    </a:solidFill>
    <a:ln w="9360">
      <a:solidFill>
        <a:srgbClr val="D9D9D9"/>
      </a:solidFill>
      <a:round/>
    </a:ln>
  </c:sp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800" b="1" strike="noStrike" spc="-1">
                <a:solidFill>
                  <a:srgbClr val="000000"/>
                </a:solidFill>
                <a:latin typeface="Calibri"/>
              </a:defRPr>
            </a:pPr>
            <a:endParaRPr lang="en-BZ" sz="1800" b="1" strike="noStrike" spc="-1">
              <a:solidFill>
                <a:srgbClr val="000000"/>
              </a:solidFill>
              <a:latin typeface="Calibri"/>
            </a:endParaRPr>
          </a:p>
        </c:rich>
      </c:tx>
      <c:overlay val="0"/>
      <c:spPr>
        <a:noFill/>
        <a:ln w="0">
          <a:noFill/>
        </a:ln>
      </c:spPr>
    </c:title>
    <c:autoTitleDeleted val="0"/>
    <c:plotArea>
      <c:layout/>
      <c:barChart>
        <c:barDir val="col"/>
        <c:grouping val="clustered"/>
        <c:varyColors val="0"/>
        <c:ser>
          <c:idx val="0"/>
          <c:order val="0"/>
          <c:tx>
            <c:strRef>
              <c:f>'Fig3 - Dietary Fiber'!$B$1</c:f>
              <c:strCache>
                <c:ptCount val="1"/>
                <c:pt idx="0">
                  <c:v>Dietary Fiber (% d.m.)</c:v>
                </c:pt>
              </c:strCache>
            </c:strRef>
          </c:tx>
          <c:spPr>
            <a:solidFill>
              <a:srgbClr val="1A6632"/>
            </a:solidFill>
            <a:ln w="9360">
              <a:solidFill>
                <a:srgbClr val="F9F9F9"/>
              </a:solidFill>
              <a:round/>
            </a:ln>
          </c:spPr>
          <c:invertIfNegative val="0"/>
          <c:dLbls>
            <c:txPr>
              <a:bodyPr wrap="none"/>
              <a:lstStyle/>
              <a:p>
                <a:pPr>
                  <a:defRPr sz="1000" b="0" strike="noStrike" spc="-1">
                    <a:latin typeface="Arial"/>
                  </a:defRPr>
                </a:pPr>
                <a:endParaRPr lang="ru-RU"/>
              </a:p>
            </c:txPr>
            <c:showLegendKey val="0"/>
            <c:showVal val="0"/>
            <c:showCatName val="0"/>
            <c:showSerName val="0"/>
            <c:showPercent val="0"/>
            <c:showBubbleSize val="1"/>
            <c:showLeaderLines val="0"/>
            <c:extLst>
              <c:ext xmlns:c15="http://schemas.microsoft.com/office/drawing/2012/chart" uri="{CE6537A1-D6FC-4f65-9D91-7224C49458BB}">
                <c15:showLeaderLines val="1"/>
              </c:ext>
            </c:extLst>
          </c:dLbls>
          <c:cat>
            <c:strRef>
              <c:f>'Fig3 - Dietary Fiber'!$A$2:$A$5</c:f>
              <c:strCache>
                <c:ptCount val="4"/>
                <c:pt idx="0">
                  <c:v>A (0%)</c:v>
                </c:pt>
                <c:pt idx="1">
                  <c:v>B (5%)</c:v>
                </c:pt>
                <c:pt idx="2">
                  <c:v>C (7%)</c:v>
                </c:pt>
                <c:pt idx="3">
                  <c:v>D (10%)</c:v>
                </c:pt>
              </c:strCache>
            </c:strRef>
          </c:cat>
          <c:val>
            <c:numRef>
              <c:f>'Fig3 - Dietary Fiber'!$B$2:$B$5</c:f>
              <c:numCache>
                <c:formatCode>General</c:formatCode>
                <c:ptCount val="4"/>
                <c:pt idx="0">
                  <c:v>2.5</c:v>
                </c:pt>
                <c:pt idx="1">
                  <c:v>5.85</c:v>
                </c:pt>
                <c:pt idx="2">
                  <c:v>7.19</c:v>
                </c:pt>
                <c:pt idx="3">
                  <c:v>9.1999999999999993</c:v>
                </c:pt>
              </c:numCache>
            </c:numRef>
          </c:val>
        </c:ser>
        <c:dLbls>
          <c:showLegendKey val="0"/>
          <c:showVal val="0"/>
          <c:showCatName val="0"/>
          <c:showSerName val="0"/>
          <c:showPercent val="0"/>
          <c:showBubbleSize val="0"/>
        </c:dLbls>
        <c:gapWidth val="150"/>
        <c:axId val="315692544"/>
        <c:axId val="315724160"/>
      </c:barChart>
      <c:catAx>
        <c:axId val="315692544"/>
        <c:scaling>
          <c:orientation val="minMax"/>
        </c:scaling>
        <c:delete val="0"/>
        <c:axPos val="b"/>
        <c:title>
          <c:tx>
            <c:rich>
              <a:bodyPr rot="0"/>
              <a:lstStyle/>
              <a:p>
                <a:pPr>
                  <a:defRPr sz="1000" b="1" strike="noStrike" spc="-1">
                    <a:solidFill>
                      <a:srgbClr val="000000"/>
                    </a:solidFill>
                    <a:latin typeface="Calibri"/>
                  </a:defRPr>
                </a:pPr>
                <a:r>
                  <a:rPr lang="en-BZ" sz="1000" b="1" strike="noStrike" spc="-1">
                    <a:solidFill>
                      <a:srgbClr val="000000"/>
                    </a:solidFill>
                    <a:latin typeface="Calibri"/>
                  </a:rPr>
                  <a:t>JAP Substitution Level</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15724160"/>
        <c:crosses val="autoZero"/>
        <c:auto val="1"/>
        <c:lblAlgn val="ctr"/>
        <c:lblOffset val="100"/>
        <c:noMultiLvlLbl val="0"/>
      </c:catAx>
      <c:valAx>
        <c:axId val="315724160"/>
        <c:scaling>
          <c:orientation val="minMax"/>
        </c:scaling>
        <c:delete val="0"/>
        <c:axPos val="l"/>
        <c:majorGridlines>
          <c:spPr>
            <a:ln w="9360">
              <a:solidFill>
                <a:srgbClr val="878787"/>
              </a:solidFill>
              <a:round/>
            </a:ln>
          </c:spPr>
        </c:majorGridlines>
        <c:title>
          <c:tx>
            <c:rich>
              <a:bodyPr rot="-5400000"/>
              <a:lstStyle/>
              <a:p>
                <a:pPr>
                  <a:defRPr sz="1000" b="1" strike="noStrike" spc="-1">
                    <a:solidFill>
                      <a:srgbClr val="000000"/>
                    </a:solidFill>
                    <a:latin typeface="Calibri"/>
                  </a:defRPr>
                </a:pPr>
                <a:r>
                  <a:rPr lang="en-BZ" sz="1000" b="1" strike="noStrike" spc="-1">
                    <a:solidFill>
                      <a:srgbClr val="000000"/>
                    </a:solidFill>
                    <a:latin typeface="Calibri"/>
                  </a:rPr>
                  <a:t>Dietary Fiber (% d.m.)</a:t>
                </a:r>
              </a:p>
            </c:rich>
          </c:tx>
          <c:overlay val="0"/>
          <c:spPr>
            <a:noFill/>
            <a:ln w="0">
              <a:noFill/>
            </a:ln>
          </c:spPr>
        </c:title>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15692544"/>
        <c:crosses val="autoZero"/>
        <c:crossBetween val="between"/>
      </c:valAx>
      <c:spPr>
        <a:noFill/>
        <a:ln w="0">
          <a:noFill/>
        </a:ln>
      </c:spPr>
    </c:plotArea>
    <c:legend>
      <c:legendPos val="r"/>
      <c:overlay val="0"/>
      <c:spPr>
        <a:noFill/>
        <a:ln w="0">
          <a:noFill/>
        </a:ln>
      </c:spPr>
      <c:txPr>
        <a:bodyPr/>
        <a:lstStyle/>
        <a:p>
          <a:pPr>
            <a:defRPr sz="1000" b="0" strike="noStrike" spc="-1">
              <a:solidFill>
                <a:srgbClr val="000000"/>
              </a:solidFill>
              <a:latin typeface="Calibri"/>
            </a:defRPr>
          </a:pPr>
          <a:endParaRPr lang="ru-RU"/>
        </a:p>
      </c:txPr>
    </c:legend>
    <c:plotVisOnly val="1"/>
    <c:dispBlanksAs val="gap"/>
    <c:showDLblsOverMax val="1"/>
  </c:chart>
  <c:spPr>
    <a:solidFill>
      <a:srgbClr val="FFFFFF"/>
    </a:solidFill>
    <a:ln w="9360">
      <a:solidFill>
        <a:srgbClr val="D9D9D9"/>
      </a:solidFill>
      <a:round/>
    </a:ln>
  </c:sp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tx>
            <c:strRef>
              <c:f>'Fig4 - Sensory Radar'!$B$1</c:f>
              <c:strCache>
                <c:ptCount val="1"/>
                <c:pt idx="0">
                  <c:v>A (0%)</c:v>
                </c:pt>
              </c:strCache>
            </c:strRef>
          </c:tx>
          <c:spPr>
            <a:ln w="9360">
              <a:solidFill>
                <a:srgbClr val="1A4FA0"/>
              </a:solidFill>
              <a:round/>
            </a:ln>
          </c:spPr>
          <c:marker>
            <c:symbol val="none"/>
          </c:marker>
          <c:cat>
            <c:strRef>
              <c:f>'Fig4 - Sensory Radar'!$A$2:$A$6</c:f>
              <c:strCache>
                <c:ptCount val="5"/>
                <c:pt idx="0">
                  <c:v>Shape &amp; size</c:v>
                </c:pt>
                <c:pt idx="1">
                  <c:v>Crust</c:v>
                </c:pt>
                <c:pt idx="2">
                  <c:v>Crumb condition</c:v>
                </c:pt>
                <c:pt idx="3">
                  <c:v>Crumb porosity</c:v>
                </c:pt>
                <c:pt idx="4">
                  <c:v>Taste &amp; aroma</c:v>
                </c:pt>
              </c:strCache>
            </c:strRef>
          </c:cat>
          <c:val>
            <c:numRef>
              <c:f>'Fig4 - Sensory Radar'!$B$2:$B$6</c:f>
              <c:numCache>
                <c:formatCode>General</c:formatCode>
                <c:ptCount val="5"/>
                <c:pt idx="0">
                  <c:v>5</c:v>
                </c:pt>
                <c:pt idx="1">
                  <c:v>4.5</c:v>
                </c:pt>
                <c:pt idx="2">
                  <c:v>5</c:v>
                </c:pt>
                <c:pt idx="3">
                  <c:v>5</c:v>
                </c:pt>
                <c:pt idx="4">
                  <c:v>4.5</c:v>
                </c:pt>
              </c:numCache>
            </c:numRef>
          </c:val>
        </c:ser>
        <c:ser>
          <c:idx val="1"/>
          <c:order val="1"/>
          <c:tx>
            <c:strRef>
              <c:f>'Fig4 - Sensory Radar'!$C$1</c:f>
              <c:strCache>
                <c:ptCount val="1"/>
                <c:pt idx="0">
                  <c:v>B (5%)</c:v>
                </c:pt>
              </c:strCache>
            </c:strRef>
          </c:tx>
          <c:spPr>
            <a:ln w="9360">
              <a:solidFill>
                <a:srgbClr val="378ADD"/>
              </a:solidFill>
              <a:round/>
            </a:ln>
          </c:spPr>
          <c:marker>
            <c:symbol val="none"/>
          </c:marker>
          <c:cat>
            <c:strRef>
              <c:f>'Fig4 - Sensory Radar'!$A$2:$A$6</c:f>
              <c:strCache>
                <c:ptCount val="5"/>
                <c:pt idx="0">
                  <c:v>Shape &amp; size</c:v>
                </c:pt>
                <c:pt idx="1">
                  <c:v>Crust</c:v>
                </c:pt>
                <c:pt idx="2">
                  <c:v>Crumb condition</c:v>
                </c:pt>
                <c:pt idx="3">
                  <c:v>Crumb porosity</c:v>
                </c:pt>
                <c:pt idx="4">
                  <c:v>Taste &amp; aroma</c:v>
                </c:pt>
              </c:strCache>
            </c:strRef>
          </c:cat>
          <c:val>
            <c:numRef>
              <c:f>'Fig4 - Sensory Radar'!$C$2:$C$6</c:f>
              <c:numCache>
                <c:formatCode>General</c:formatCode>
                <c:ptCount val="5"/>
                <c:pt idx="0">
                  <c:v>4.5999999999999996</c:v>
                </c:pt>
                <c:pt idx="1">
                  <c:v>4.3</c:v>
                </c:pt>
                <c:pt idx="2">
                  <c:v>5</c:v>
                </c:pt>
                <c:pt idx="3">
                  <c:v>4.8</c:v>
                </c:pt>
                <c:pt idx="4">
                  <c:v>4.8</c:v>
                </c:pt>
              </c:numCache>
            </c:numRef>
          </c:val>
        </c:ser>
        <c:ser>
          <c:idx val="2"/>
          <c:order val="2"/>
          <c:tx>
            <c:strRef>
              <c:f>'Fig4 - Sensory Radar'!$D$1</c:f>
              <c:strCache>
                <c:ptCount val="1"/>
                <c:pt idx="0">
                  <c:v>C (7%)</c:v>
                </c:pt>
              </c:strCache>
            </c:strRef>
          </c:tx>
          <c:spPr>
            <a:ln w="9360">
              <a:solidFill>
                <a:srgbClr val="1A6632"/>
              </a:solidFill>
              <a:round/>
            </a:ln>
          </c:spPr>
          <c:marker>
            <c:symbol val="none"/>
          </c:marker>
          <c:cat>
            <c:strRef>
              <c:f>'Fig4 - Sensory Radar'!$A$2:$A$6</c:f>
              <c:strCache>
                <c:ptCount val="5"/>
                <c:pt idx="0">
                  <c:v>Shape &amp; size</c:v>
                </c:pt>
                <c:pt idx="1">
                  <c:v>Crust</c:v>
                </c:pt>
                <c:pt idx="2">
                  <c:v>Crumb condition</c:v>
                </c:pt>
                <c:pt idx="3">
                  <c:v>Crumb porosity</c:v>
                </c:pt>
                <c:pt idx="4">
                  <c:v>Taste &amp; aroma</c:v>
                </c:pt>
              </c:strCache>
            </c:strRef>
          </c:cat>
          <c:val>
            <c:numRef>
              <c:f>'Fig4 - Sensory Radar'!$D$2:$D$6</c:f>
              <c:numCache>
                <c:formatCode>General</c:formatCode>
                <c:ptCount val="5"/>
                <c:pt idx="0">
                  <c:v>4.5999999999999996</c:v>
                </c:pt>
                <c:pt idx="1">
                  <c:v>4.4000000000000004</c:v>
                </c:pt>
                <c:pt idx="2">
                  <c:v>5</c:v>
                </c:pt>
                <c:pt idx="3">
                  <c:v>4.8</c:v>
                </c:pt>
                <c:pt idx="4">
                  <c:v>5</c:v>
                </c:pt>
              </c:numCache>
            </c:numRef>
          </c:val>
        </c:ser>
        <c:ser>
          <c:idx val="3"/>
          <c:order val="3"/>
          <c:tx>
            <c:strRef>
              <c:f>'Fig4 - Sensory Radar'!$E$1</c:f>
              <c:strCache>
                <c:ptCount val="1"/>
                <c:pt idx="0">
                  <c:v>D (10%)</c:v>
                </c:pt>
              </c:strCache>
            </c:strRef>
          </c:tx>
          <c:spPr>
            <a:ln w="9360">
              <a:solidFill>
                <a:srgbClr val="B05A00"/>
              </a:solidFill>
              <a:round/>
            </a:ln>
          </c:spPr>
          <c:marker>
            <c:symbol val="none"/>
          </c:marker>
          <c:cat>
            <c:strRef>
              <c:f>'Fig4 - Sensory Radar'!$A$2:$A$6</c:f>
              <c:strCache>
                <c:ptCount val="5"/>
                <c:pt idx="0">
                  <c:v>Shape &amp; size</c:v>
                </c:pt>
                <c:pt idx="1">
                  <c:v>Crust</c:v>
                </c:pt>
                <c:pt idx="2">
                  <c:v>Crumb condition</c:v>
                </c:pt>
                <c:pt idx="3">
                  <c:v>Crumb porosity</c:v>
                </c:pt>
                <c:pt idx="4">
                  <c:v>Taste &amp; aroma</c:v>
                </c:pt>
              </c:strCache>
            </c:strRef>
          </c:cat>
          <c:val>
            <c:numRef>
              <c:f>'Fig4 - Sensory Radar'!$E$2:$E$6</c:f>
              <c:numCache>
                <c:formatCode>General</c:formatCode>
                <c:ptCount val="5"/>
                <c:pt idx="0">
                  <c:v>4.4000000000000004</c:v>
                </c:pt>
                <c:pt idx="1">
                  <c:v>4.2</c:v>
                </c:pt>
                <c:pt idx="2">
                  <c:v>4.5</c:v>
                </c:pt>
                <c:pt idx="3">
                  <c:v>4.5</c:v>
                </c:pt>
                <c:pt idx="4">
                  <c:v>4.8</c:v>
                </c:pt>
              </c:numCache>
            </c:numRef>
          </c:val>
        </c:ser>
        <c:dLbls>
          <c:showLegendKey val="0"/>
          <c:showVal val="0"/>
          <c:showCatName val="0"/>
          <c:showSerName val="0"/>
          <c:showPercent val="0"/>
          <c:showBubbleSize val="0"/>
        </c:dLbls>
        <c:axId val="317469440"/>
        <c:axId val="317470976"/>
      </c:radarChart>
      <c:catAx>
        <c:axId val="317469440"/>
        <c:scaling>
          <c:orientation val="maxMin"/>
        </c:scaling>
        <c:delete val="0"/>
        <c:axPos val="b"/>
        <c:majorGridlines/>
        <c:numFmt formatCode="General" sourceLinked="1"/>
        <c:majorTickMark val="none"/>
        <c:minorTickMark val="none"/>
        <c:tickLblPos val="nextTo"/>
        <c:spPr>
          <a:ln w="9360">
            <a:noFill/>
          </a:ln>
        </c:spPr>
        <c:txPr>
          <a:bodyPr/>
          <a:lstStyle/>
          <a:p>
            <a:pPr>
              <a:defRPr sz="1000" b="0" strike="noStrike" spc="-1">
                <a:solidFill>
                  <a:srgbClr val="000000"/>
                </a:solidFill>
                <a:latin typeface="Calibri"/>
              </a:defRPr>
            </a:pPr>
            <a:endParaRPr lang="ru-RU"/>
          </a:p>
        </c:txPr>
        <c:crossAx val="317470976"/>
        <c:crosses val="autoZero"/>
        <c:auto val="1"/>
        <c:lblAlgn val="ctr"/>
        <c:lblOffset val="100"/>
        <c:noMultiLvlLbl val="0"/>
      </c:catAx>
      <c:valAx>
        <c:axId val="317470976"/>
        <c:scaling>
          <c:orientation val="minMax"/>
        </c:scaling>
        <c:delete val="0"/>
        <c:axPos val="l"/>
        <c:majorGridlines>
          <c:spPr>
            <a:ln w="9360">
              <a:solidFill>
                <a:srgbClr val="878787"/>
              </a:solidFill>
              <a:round/>
            </a:ln>
          </c:spPr>
        </c:majorGridlines>
        <c:numFmt formatCode="General" sourceLinked="1"/>
        <c:majorTickMark val="none"/>
        <c:minorTickMark val="none"/>
        <c:tickLblPos val="nextTo"/>
        <c:spPr>
          <a:ln w="9360">
            <a:solidFill>
              <a:srgbClr val="878787"/>
            </a:solidFill>
            <a:round/>
          </a:ln>
        </c:spPr>
        <c:txPr>
          <a:bodyPr/>
          <a:lstStyle/>
          <a:p>
            <a:pPr>
              <a:defRPr sz="1000" b="0" strike="noStrike" spc="-1">
                <a:solidFill>
                  <a:srgbClr val="000000"/>
                </a:solidFill>
                <a:latin typeface="Calibri"/>
              </a:defRPr>
            </a:pPr>
            <a:endParaRPr lang="ru-RU"/>
          </a:p>
        </c:txPr>
        <c:crossAx val="317469440"/>
        <c:crosses val="autoZero"/>
        <c:crossBetween val="between"/>
      </c:valAx>
      <c:spPr>
        <a:noFill/>
        <a:ln w="0">
          <a:noFill/>
        </a:ln>
      </c:spPr>
    </c:plotArea>
    <c:legend>
      <c:legendPos val="r"/>
      <c:overlay val="0"/>
      <c:spPr>
        <a:noFill/>
        <a:ln w="0">
          <a:noFill/>
        </a:ln>
      </c:spPr>
      <c:txPr>
        <a:bodyPr/>
        <a:lstStyle/>
        <a:p>
          <a:pPr>
            <a:defRPr sz="1000" b="0" strike="noStrike" spc="-1">
              <a:solidFill>
                <a:srgbClr val="000000"/>
              </a:solidFill>
              <a:latin typeface="Calibri"/>
            </a:defRPr>
          </a:pPr>
          <a:endParaRPr lang="ru-RU"/>
        </a:p>
      </c:txPr>
    </c:legend>
    <c:plotVisOnly val="1"/>
    <c:dispBlanksAs val="gap"/>
    <c:showDLblsOverMax val="1"/>
  </c:chart>
  <c:spPr>
    <a:solidFill>
      <a:srgbClr val="FFFFFF"/>
    </a:solidFill>
    <a:ln w="9360">
      <a:solidFill>
        <a:srgbClr val="D9D9D9"/>
      </a:solidFill>
      <a:round/>
    </a:ln>
  </c:spPr>
</c:chartSpac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79185-750D-42EB-AAA2-AD2939AD2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3071</Words>
  <Characters>17510</Characters>
  <Application>Microsoft Office Word</Application>
  <DocSecurity>0</DocSecurity>
  <Lines>145</Lines>
  <Paragraphs>41</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Hp kompyuter</cp:lastModifiedBy>
  <cp:revision>2</cp:revision>
  <cp:lastPrinted>2015-05-12T18:31:00Z</cp:lastPrinted>
  <dcterms:created xsi:type="dcterms:W3CDTF">2026-06-11T06:24:00Z</dcterms:created>
  <dcterms:modified xsi:type="dcterms:W3CDTF">2026-06-11T06:24:00Z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